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autoSpaceDE w:val="0"/>
        <w:autoSpaceDN w:val="0"/>
        <w:jc w:val="left"/>
        <w:rPr>
          <w:kern w:val="0"/>
          <w:sz w:val="20"/>
          <w:lang w:eastAsia="en-US"/>
        </w:rPr>
      </w:pPr>
    </w:p>
    <w:p>
      <w:pPr>
        <w:autoSpaceDE w:val="0"/>
        <w:autoSpaceDN w:val="0"/>
        <w:jc w:val="left"/>
        <w:rPr>
          <w:kern w:val="0"/>
          <w:sz w:val="20"/>
          <w:lang w:eastAsia="en-US"/>
        </w:rPr>
      </w:pPr>
    </w:p>
    <w:p>
      <w:pPr>
        <w:autoSpaceDE w:val="0"/>
        <w:autoSpaceDN w:val="0"/>
        <w:jc w:val="left"/>
        <w:rPr>
          <w:kern w:val="0"/>
          <w:sz w:val="20"/>
          <w:lang w:eastAsia="en-US"/>
        </w:rPr>
      </w:pPr>
    </w:p>
    <w:p>
      <w:pPr>
        <w:autoSpaceDE w:val="0"/>
        <w:autoSpaceDN w:val="0"/>
        <w:jc w:val="left"/>
        <w:rPr>
          <w:kern w:val="0"/>
          <w:sz w:val="20"/>
          <w:lang w:eastAsia="en-US"/>
        </w:rPr>
      </w:pPr>
    </w:p>
    <w:p>
      <w:pPr>
        <w:autoSpaceDE w:val="0"/>
        <w:autoSpaceDN w:val="0"/>
        <w:spacing w:before="146" w:line="936" w:lineRule="exact"/>
        <w:ind w:right="491" w:firstLine="565" w:firstLineChars="82"/>
        <w:jc w:val="center"/>
        <w:rPr>
          <w:b/>
          <w:w w:val="95"/>
          <w:kern w:val="0"/>
          <w:sz w:val="72"/>
          <w:szCs w:val="22"/>
        </w:rPr>
      </w:pPr>
      <w:r>
        <w:rPr>
          <w:b/>
          <w:w w:val="95"/>
          <w:kern w:val="0"/>
          <w:sz w:val="72"/>
          <w:szCs w:val="22"/>
        </w:rPr>
        <w:t>建设项目竣工环境保护</w:t>
      </w:r>
    </w:p>
    <w:p>
      <w:pPr>
        <w:autoSpaceDE w:val="0"/>
        <w:autoSpaceDN w:val="0"/>
        <w:spacing w:before="146" w:line="936" w:lineRule="exact"/>
        <w:ind w:right="491" w:firstLine="565" w:firstLineChars="82"/>
        <w:jc w:val="center"/>
        <w:rPr>
          <w:b/>
          <w:kern w:val="0"/>
          <w:sz w:val="72"/>
          <w:szCs w:val="22"/>
        </w:rPr>
      </w:pPr>
      <w:r>
        <w:rPr>
          <w:b/>
          <w:w w:val="95"/>
          <w:kern w:val="0"/>
          <w:sz w:val="72"/>
          <w:szCs w:val="22"/>
        </w:rPr>
        <w:t>验收监测表</w:t>
      </w:r>
    </w:p>
    <w:p>
      <w:pPr>
        <w:autoSpaceDE w:val="0"/>
        <w:autoSpaceDN w:val="0"/>
        <w:jc w:val="center"/>
        <w:rPr>
          <w:kern w:val="0"/>
          <w:sz w:val="36"/>
          <w:szCs w:val="36"/>
        </w:rPr>
      </w:pPr>
    </w:p>
    <w:p>
      <w:pPr>
        <w:autoSpaceDE w:val="0"/>
        <w:autoSpaceDN w:val="0"/>
        <w:jc w:val="center"/>
        <w:rPr>
          <w:b/>
          <w:kern w:val="0"/>
          <w:sz w:val="40"/>
        </w:rPr>
      </w:pPr>
      <w:r>
        <w:rPr>
          <w:kern w:val="0"/>
          <w:sz w:val="32"/>
          <w:szCs w:val="36"/>
        </w:rPr>
        <w:t>华测深验字</w:t>
      </w:r>
      <w:r>
        <w:rPr>
          <w:rFonts w:hint="eastAsia"/>
          <w:kern w:val="0"/>
          <w:sz w:val="32"/>
          <w:szCs w:val="36"/>
        </w:rPr>
        <w:t>[</w:t>
      </w:r>
      <w:r>
        <w:rPr>
          <w:kern w:val="0"/>
          <w:sz w:val="32"/>
          <w:szCs w:val="36"/>
        </w:rPr>
        <w:t>2017</w:t>
      </w:r>
      <w:r>
        <w:rPr>
          <w:rFonts w:hint="eastAsia"/>
          <w:kern w:val="0"/>
          <w:sz w:val="32"/>
          <w:szCs w:val="36"/>
        </w:rPr>
        <w:t>]</w:t>
      </w:r>
      <w:r>
        <w:rPr>
          <w:kern w:val="0"/>
          <w:sz w:val="32"/>
          <w:szCs w:val="36"/>
        </w:rPr>
        <w:t>第0</w:t>
      </w:r>
      <w:r>
        <w:rPr>
          <w:rFonts w:hint="eastAsia"/>
          <w:kern w:val="0"/>
          <w:sz w:val="32"/>
          <w:szCs w:val="36"/>
        </w:rPr>
        <w:t>6</w:t>
      </w:r>
      <w:r>
        <w:rPr>
          <w:kern w:val="0"/>
          <w:sz w:val="32"/>
          <w:szCs w:val="36"/>
        </w:rPr>
        <w:t>0</w:t>
      </w:r>
      <w:r>
        <w:rPr>
          <w:rFonts w:hint="eastAsia"/>
          <w:kern w:val="0"/>
          <w:sz w:val="32"/>
          <w:szCs w:val="36"/>
        </w:rPr>
        <w:t>7</w:t>
      </w:r>
      <w:r>
        <w:rPr>
          <w:kern w:val="0"/>
          <w:sz w:val="32"/>
          <w:szCs w:val="36"/>
        </w:rPr>
        <w:t>号</w:t>
      </w:r>
    </w:p>
    <w:p>
      <w:pPr>
        <w:autoSpaceDE w:val="0"/>
        <w:autoSpaceDN w:val="0"/>
        <w:jc w:val="left"/>
        <w:rPr>
          <w:b/>
          <w:kern w:val="0"/>
          <w:sz w:val="40"/>
        </w:rPr>
      </w:pPr>
    </w:p>
    <w:p>
      <w:pPr>
        <w:autoSpaceDE w:val="0"/>
        <w:autoSpaceDN w:val="0"/>
        <w:jc w:val="left"/>
        <w:rPr>
          <w:b/>
          <w:kern w:val="0"/>
          <w:sz w:val="40"/>
        </w:rPr>
      </w:pPr>
    </w:p>
    <w:p>
      <w:pPr>
        <w:autoSpaceDE w:val="0"/>
        <w:autoSpaceDN w:val="0"/>
        <w:jc w:val="left"/>
        <w:rPr>
          <w:b/>
          <w:kern w:val="0"/>
          <w:sz w:val="40"/>
        </w:rPr>
      </w:pPr>
    </w:p>
    <w:p>
      <w:pPr>
        <w:autoSpaceDE w:val="0"/>
        <w:autoSpaceDN w:val="0"/>
        <w:jc w:val="left"/>
        <w:rPr>
          <w:b/>
          <w:kern w:val="0"/>
          <w:sz w:val="40"/>
        </w:rPr>
      </w:pPr>
    </w:p>
    <w:p>
      <w:pPr>
        <w:autoSpaceDE w:val="0"/>
        <w:autoSpaceDN w:val="0"/>
        <w:spacing w:before="4"/>
        <w:jc w:val="left"/>
        <w:rPr>
          <w:b/>
          <w:kern w:val="0"/>
          <w:sz w:val="55"/>
        </w:rPr>
      </w:pPr>
    </w:p>
    <w:p>
      <w:pPr>
        <w:autoSpaceDE w:val="0"/>
        <w:autoSpaceDN w:val="0"/>
        <w:adjustRightInd w:val="0"/>
        <w:ind w:left="8" w:leftChars="4"/>
        <w:jc w:val="left"/>
        <w:rPr>
          <w:b/>
          <w:kern w:val="0"/>
          <w:sz w:val="36"/>
          <w:szCs w:val="32"/>
          <w:u w:val="single"/>
        </w:rPr>
      </w:pPr>
      <w:r>
        <w:rPr>
          <w:b/>
          <w:kern w:val="0"/>
          <w:sz w:val="36"/>
          <w:szCs w:val="32"/>
        </w:rPr>
        <w:t>项目名称：</w:t>
      </w:r>
      <w:r>
        <w:rPr>
          <w:rFonts w:hint="eastAsia"/>
          <w:b/>
          <w:kern w:val="0"/>
          <w:sz w:val="36"/>
          <w:szCs w:val="32"/>
          <w:u w:val="single"/>
        </w:rPr>
        <w:t>金万龙珠宝首饰（深圳）有限公司更名项目</w:t>
      </w:r>
    </w:p>
    <w:p>
      <w:pPr>
        <w:autoSpaceDE w:val="0"/>
        <w:autoSpaceDN w:val="0"/>
        <w:adjustRightInd w:val="0"/>
        <w:ind w:left="126" w:leftChars="60"/>
        <w:jc w:val="left"/>
        <w:rPr>
          <w:b/>
          <w:kern w:val="0"/>
          <w:sz w:val="36"/>
          <w:szCs w:val="32"/>
          <w:u w:val="single"/>
        </w:rPr>
      </w:pPr>
    </w:p>
    <w:p>
      <w:pPr>
        <w:autoSpaceDE w:val="0"/>
        <w:autoSpaceDN w:val="0"/>
        <w:adjustRightInd w:val="0"/>
        <w:jc w:val="left"/>
        <w:rPr>
          <w:b/>
          <w:kern w:val="0"/>
          <w:sz w:val="36"/>
          <w:szCs w:val="32"/>
        </w:rPr>
      </w:pPr>
      <w:r>
        <w:rPr>
          <w:b/>
          <w:kern w:val="0"/>
          <w:sz w:val="36"/>
          <w:szCs w:val="32"/>
        </w:rPr>
        <w:t>建设单位：</w:t>
      </w:r>
      <w:r>
        <w:rPr>
          <w:rFonts w:hint="eastAsia"/>
          <w:b/>
          <w:kern w:val="0"/>
          <w:sz w:val="36"/>
          <w:szCs w:val="32"/>
          <w:u w:val="single"/>
        </w:rPr>
        <w:t xml:space="preserve">金万龙珠宝首饰（深圳）有限公司       </w:t>
      </w: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jc w:val="left"/>
        <w:rPr>
          <w:b/>
          <w:kern w:val="0"/>
          <w:sz w:val="32"/>
        </w:rPr>
      </w:pPr>
    </w:p>
    <w:p>
      <w:pPr>
        <w:autoSpaceDE w:val="0"/>
        <w:autoSpaceDN w:val="0"/>
        <w:spacing w:before="12"/>
        <w:jc w:val="left"/>
        <w:rPr>
          <w:b/>
          <w:kern w:val="0"/>
          <w:sz w:val="40"/>
        </w:rPr>
      </w:pPr>
    </w:p>
    <w:p>
      <w:pPr>
        <w:autoSpaceDE w:val="0"/>
        <w:autoSpaceDN w:val="0"/>
        <w:adjustRightInd w:val="0"/>
        <w:jc w:val="center"/>
        <w:rPr>
          <w:sz w:val="32"/>
          <w:szCs w:val="44"/>
        </w:rPr>
      </w:pPr>
      <w:r>
        <w:rPr>
          <w:sz w:val="32"/>
          <w:szCs w:val="44"/>
        </w:rPr>
        <w:t>华测检测认证集团股份有限公司</w:t>
      </w:r>
    </w:p>
    <w:p>
      <w:pPr>
        <w:autoSpaceDE w:val="0"/>
        <w:autoSpaceDN w:val="0"/>
        <w:adjustRightInd w:val="0"/>
        <w:jc w:val="center"/>
        <w:rPr>
          <w:sz w:val="32"/>
          <w:szCs w:val="44"/>
        </w:rPr>
        <w:sectPr>
          <w:pgSz w:w="11910" w:h="16840"/>
          <w:pgMar w:top="1580" w:right="1680" w:bottom="280" w:left="1680" w:header="720" w:footer="720" w:gutter="0"/>
          <w:cols w:space="720" w:num="1"/>
        </w:sectPr>
      </w:pPr>
      <w:r>
        <w:rPr>
          <w:sz w:val="32"/>
          <w:szCs w:val="44"/>
        </w:rPr>
        <w:t>二零一七年</w:t>
      </w:r>
      <w:r>
        <w:rPr>
          <w:rFonts w:hint="eastAsia"/>
          <w:sz w:val="32"/>
          <w:szCs w:val="44"/>
        </w:rPr>
        <w:t>五</w:t>
      </w:r>
      <w:r>
        <w:rPr>
          <w:sz w:val="32"/>
          <w:szCs w:val="44"/>
        </w:rPr>
        <w:t>月</w:t>
      </w:r>
    </w:p>
    <w:tbl>
      <w:tblPr>
        <w:tblStyle w:val="27"/>
        <w:tblW w:w="8687" w:type="dxa"/>
        <w:tblInd w:w="0" w:type="dxa"/>
        <w:tblLayout w:type="fixed"/>
        <w:tblCellMar>
          <w:top w:w="0" w:type="dxa"/>
          <w:left w:w="108" w:type="dxa"/>
          <w:bottom w:w="0" w:type="dxa"/>
          <w:right w:w="108" w:type="dxa"/>
        </w:tblCellMar>
      </w:tblPr>
      <w:tblGrid>
        <w:gridCol w:w="2349"/>
        <w:gridCol w:w="6173"/>
        <w:gridCol w:w="165"/>
      </w:tblGrid>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承  担  单  位：</w:t>
            </w:r>
          </w:p>
        </w:tc>
        <w:tc>
          <w:tcPr>
            <w:tcW w:w="6338" w:type="dxa"/>
            <w:gridSpan w:val="2"/>
          </w:tcPr>
          <w:p>
            <w:pPr>
              <w:spacing w:line="480" w:lineRule="auto"/>
            </w:pPr>
            <w:r>
              <w:rPr>
                <w:sz w:val="28"/>
                <w:szCs w:val="28"/>
              </w:rPr>
              <w:t>华测检测认证集团股份有限公司</w:t>
            </w: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项 目 负 责 人：</w:t>
            </w:r>
          </w:p>
        </w:tc>
        <w:tc>
          <w:tcPr>
            <w:tcW w:w="6338" w:type="dxa"/>
            <w:gridSpan w:val="2"/>
          </w:tcPr>
          <w:p>
            <w:pPr>
              <w:spacing w:line="480" w:lineRule="auto"/>
              <w:rPr>
                <w:sz w:val="28"/>
                <w:szCs w:val="28"/>
              </w:rPr>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报告编写：</w:t>
            </w:r>
          </w:p>
        </w:tc>
        <w:tc>
          <w:tcPr>
            <w:tcW w:w="6338" w:type="dxa"/>
            <w:gridSpan w:val="2"/>
          </w:tcPr>
          <w:p>
            <w:pPr>
              <w:spacing w:line="480" w:lineRule="auto"/>
              <w:rPr>
                <w:sz w:val="28"/>
                <w:szCs w:val="28"/>
              </w:rPr>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审    核    人：</w:t>
            </w:r>
          </w:p>
        </w:tc>
        <w:tc>
          <w:tcPr>
            <w:tcW w:w="6338" w:type="dxa"/>
            <w:gridSpan w:val="2"/>
          </w:tcPr>
          <w:p>
            <w:pPr>
              <w:spacing w:line="480" w:lineRule="auto"/>
              <w:rPr>
                <w:sz w:val="28"/>
                <w:szCs w:val="28"/>
              </w:rPr>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r>
              <w:rPr>
                <w:sz w:val="28"/>
                <w:szCs w:val="28"/>
              </w:rPr>
              <w:t>参  加  人  员：</w:t>
            </w:r>
          </w:p>
        </w:tc>
        <w:tc>
          <w:tcPr>
            <w:tcW w:w="6338" w:type="dxa"/>
            <w:gridSpan w:val="2"/>
            <w:vMerge w:val="restart"/>
          </w:tcPr>
          <w:p>
            <w:pPr>
              <w:spacing w:line="480" w:lineRule="auto"/>
              <w:rPr>
                <w:sz w:val="28"/>
                <w:szCs w:val="28"/>
              </w:rPr>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pPr>
          </w:p>
        </w:tc>
        <w:tc>
          <w:tcPr>
            <w:tcW w:w="6338" w:type="dxa"/>
            <w:gridSpan w:val="2"/>
            <w:vMerge w:val="continue"/>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c>
          <w:tcPr>
            <w:tcW w:w="2349" w:type="dxa"/>
          </w:tcPr>
          <w:p>
            <w:pPr>
              <w:spacing w:line="480" w:lineRule="auto"/>
              <w:jc w:val="distribute"/>
              <w:rPr>
                <w:sz w:val="28"/>
                <w:szCs w:val="28"/>
              </w:rPr>
            </w:pPr>
          </w:p>
        </w:tc>
        <w:tc>
          <w:tcPr>
            <w:tcW w:w="6338" w:type="dxa"/>
            <w:gridSpan w:val="2"/>
          </w:tcPr>
          <w:p>
            <w:pPr>
              <w:spacing w:line="480" w:lineRule="auto"/>
            </w:pPr>
          </w:p>
        </w:tc>
      </w:tr>
      <w:tr>
        <w:tblPrEx>
          <w:tblLayout w:type="fixed"/>
          <w:tblCellMar>
            <w:top w:w="0" w:type="dxa"/>
            <w:left w:w="108" w:type="dxa"/>
            <w:bottom w:w="0" w:type="dxa"/>
            <w:right w:w="108" w:type="dxa"/>
          </w:tblCellMar>
        </w:tblPrEx>
        <w:trPr>
          <w:gridAfter w:val="1"/>
          <w:wAfter w:w="165" w:type="dxa"/>
        </w:trPr>
        <w:tc>
          <w:tcPr>
            <w:tcW w:w="8522" w:type="dxa"/>
            <w:gridSpan w:val="2"/>
          </w:tcPr>
          <w:p>
            <w:pPr>
              <w:spacing w:line="480" w:lineRule="auto"/>
              <w:rPr>
                <w:b/>
                <w:sz w:val="24"/>
              </w:rPr>
            </w:pPr>
            <w:r>
              <w:rPr>
                <w:b/>
                <w:sz w:val="24"/>
              </w:rPr>
              <w:t>华测检测认证集团股份有限公司</w:t>
            </w:r>
          </w:p>
          <w:p>
            <w:pPr>
              <w:spacing w:line="288" w:lineRule="auto"/>
              <w:rPr>
                <w:sz w:val="24"/>
              </w:rPr>
            </w:pPr>
            <w:r>
              <w:rPr>
                <w:sz w:val="24"/>
              </w:rPr>
              <w:t>监测委托受理电话：0755-33682667</w:t>
            </w:r>
          </w:p>
          <w:p>
            <w:pPr>
              <w:spacing w:line="288" w:lineRule="auto"/>
              <w:rPr>
                <w:sz w:val="24"/>
              </w:rPr>
            </w:pPr>
            <w:r>
              <w:rPr>
                <w:sz w:val="24"/>
              </w:rPr>
              <w:t>报告质量投诉电话：0755-33683986，33682778</w:t>
            </w:r>
          </w:p>
          <w:p>
            <w:pPr>
              <w:spacing w:line="288" w:lineRule="auto"/>
              <w:rPr>
                <w:sz w:val="24"/>
              </w:rPr>
            </w:pPr>
            <w:r>
              <w:rPr>
                <w:sz w:val="24"/>
              </w:rPr>
              <w:t>传真：0755-33683385</w:t>
            </w:r>
          </w:p>
          <w:p>
            <w:pPr>
              <w:jc w:val="left"/>
            </w:pPr>
            <w:r>
              <w:rPr>
                <w:sz w:val="24"/>
              </w:rPr>
              <w:t xml:space="preserve">邮政编码：518101 </w:t>
            </w:r>
            <w:r>
              <w:br w:type="textWrapping"/>
            </w:r>
            <w:r>
              <w:rPr>
                <w:sz w:val="24"/>
              </w:rPr>
              <w:t>联系地址：深圳市宝安区70区鸿威工业园F栋</w:t>
            </w:r>
          </w:p>
        </w:tc>
      </w:tr>
    </w:tbl>
    <w:p>
      <w:pPr>
        <w:autoSpaceDE w:val="0"/>
        <w:autoSpaceDN w:val="0"/>
        <w:spacing w:before="11"/>
        <w:jc w:val="left"/>
        <w:rPr>
          <w:b/>
          <w:kern w:val="0"/>
          <w:sz w:val="28"/>
        </w:rPr>
      </w:pPr>
    </w:p>
    <w:p>
      <w:pPr>
        <w:autoSpaceDE w:val="0"/>
        <w:autoSpaceDN w:val="0"/>
        <w:spacing w:before="11"/>
        <w:jc w:val="left"/>
        <w:rPr>
          <w:b/>
          <w:kern w:val="0"/>
          <w:sz w:val="28"/>
        </w:rPr>
        <w:sectPr>
          <w:footerReference r:id="rId3" w:type="default"/>
          <w:pgSz w:w="11907" w:h="16839"/>
          <w:pgMar w:top="1440" w:right="1080" w:bottom="1440" w:left="1080" w:header="0" w:footer="935" w:gutter="0"/>
          <w:pgNumType w:start="1"/>
          <w:cols w:space="720" w:num="1"/>
          <w:docGrid w:linePitch="299" w:charSpace="0"/>
        </w:sectPr>
      </w:pPr>
    </w:p>
    <w:p>
      <w:pPr>
        <w:autoSpaceDE w:val="0"/>
        <w:autoSpaceDN w:val="0"/>
        <w:spacing w:before="11"/>
        <w:jc w:val="left"/>
        <w:rPr>
          <w:b/>
          <w:kern w:val="0"/>
          <w:sz w:val="28"/>
        </w:rPr>
      </w:pPr>
      <w:r>
        <w:rPr>
          <w:b/>
          <w:kern w:val="0"/>
          <w:sz w:val="28"/>
        </w:rPr>
        <w:t>表一</w:t>
      </w:r>
    </w:p>
    <w:p>
      <w:pPr>
        <w:autoSpaceDE w:val="0"/>
        <w:autoSpaceDN w:val="0"/>
        <w:spacing w:before="1"/>
        <w:jc w:val="left"/>
        <w:rPr>
          <w:b/>
          <w:kern w:val="0"/>
          <w:sz w:val="13"/>
          <w:lang w:eastAsia="en-US"/>
        </w:rPr>
      </w:pPr>
    </w:p>
    <w:tbl>
      <w:tblPr>
        <w:tblStyle w:val="27"/>
        <w:tblW w:w="9402"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43"/>
        <w:gridCol w:w="1756"/>
        <w:gridCol w:w="1134"/>
        <w:gridCol w:w="1232"/>
        <w:gridCol w:w="469"/>
        <w:gridCol w:w="762"/>
        <w:gridCol w:w="1223"/>
        <w:gridCol w:w="9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52"/>
                <w:lang w:eastAsia="en-US"/>
              </w:rPr>
            </w:pPr>
            <w:r>
              <w:rPr>
                <w:kern w:val="0"/>
                <w:sz w:val="24"/>
                <w:szCs w:val="52"/>
                <w:lang w:eastAsia="en-US"/>
              </w:rPr>
              <w:t>建设项目名称</w:t>
            </w:r>
          </w:p>
        </w:tc>
        <w:tc>
          <w:tcPr>
            <w:tcW w:w="7559" w:type="dxa"/>
            <w:gridSpan w:val="7"/>
            <w:vAlign w:val="center"/>
          </w:tcPr>
          <w:p>
            <w:pPr>
              <w:autoSpaceDE w:val="0"/>
              <w:autoSpaceDN w:val="0"/>
              <w:adjustRightInd w:val="0"/>
              <w:snapToGrid w:val="0"/>
              <w:spacing w:line="276" w:lineRule="auto"/>
              <w:jc w:val="center"/>
              <w:rPr>
                <w:kern w:val="0"/>
                <w:sz w:val="24"/>
                <w:szCs w:val="52"/>
              </w:rPr>
            </w:pPr>
            <w:r>
              <w:rPr>
                <w:rFonts w:hint="eastAsia"/>
                <w:kern w:val="0"/>
                <w:sz w:val="24"/>
                <w:szCs w:val="52"/>
              </w:rPr>
              <w:t>金万龙珠宝首饰（深圳）有限公司更名项目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52"/>
                <w:lang w:eastAsia="en-US"/>
              </w:rPr>
            </w:pPr>
            <w:r>
              <w:rPr>
                <w:kern w:val="0"/>
                <w:sz w:val="24"/>
                <w:szCs w:val="52"/>
                <w:lang w:eastAsia="en-US"/>
              </w:rPr>
              <w:t>建设单位名称</w:t>
            </w:r>
          </w:p>
        </w:tc>
        <w:tc>
          <w:tcPr>
            <w:tcW w:w="7559" w:type="dxa"/>
            <w:gridSpan w:val="7"/>
            <w:vAlign w:val="center"/>
          </w:tcPr>
          <w:p>
            <w:pPr>
              <w:autoSpaceDE w:val="0"/>
              <w:autoSpaceDN w:val="0"/>
              <w:adjustRightInd w:val="0"/>
              <w:snapToGrid w:val="0"/>
              <w:spacing w:line="276" w:lineRule="auto"/>
              <w:jc w:val="center"/>
              <w:rPr>
                <w:kern w:val="0"/>
                <w:sz w:val="24"/>
                <w:szCs w:val="52"/>
              </w:rPr>
            </w:pPr>
            <w:r>
              <w:rPr>
                <w:rFonts w:hint="eastAsia"/>
                <w:kern w:val="0"/>
                <w:sz w:val="24"/>
                <w:szCs w:val="52"/>
              </w:rPr>
              <w:t>金万龙珠宝首饰（深圳）有限公司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52"/>
                <w:lang w:eastAsia="en-US"/>
              </w:rPr>
            </w:pPr>
            <w:r>
              <w:rPr>
                <w:kern w:val="0"/>
                <w:sz w:val="24"/>
                <w:szCs w:val="52"/>
                <w:lang w:eastAsia="en-US"/>
              </w:rPr>
              <w:t>项目地点</w:t>
            </w:r>
          </w:p>
        </w:tc>
        <w:tc>
          <w:tcPr>
            <w:tcW w:w="7559" w:type="dxa"/>
            <w:gridSpan w:val="7"/>
            <w:vAlign w:val="center"/>
          </w:tcPr>
          <w:p>
            <w:pPr>
              <w:autoSpaceDE w:val="0"/>
              <w:autoSpaceDN w:val="0"/>
              <w:adjustRightInd w:val="0"/>
              <w:snapToGrid w:val="0"/>
              <w:spacing w:line="276" w:lineRule="auto"/>
              <w:jc w:val="center"/>
              <w:rPr>
                <w:kern w:val="0"/>
                <w:sz w:val="24"/>
                <w:szCs w:val="52"/>
              </w:rPr>
            </w:pPr>
            <w:r>
              <w:rPr>
                <w:rFonts w:hint="eastAsia" w:ascii="宋体" w:hAnsi="宋体"/>
                <w:sz w:val="24"/>
              </w:rPr>
              <w:t>深圳市盐田区沙头角保税区13栋4层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22"/>
                <w:lang w:eastAsia="en-US"/>
              </w:rPr>
            </w:pPr>
            <w:r>
              <w:rPr>
                <w:kern w:val="0"/>
                <w:sz w:val="24"/>
                <w:szCs w:val="22"/>
                <w:lang w:eastAsia="en-US"/>
              </w:rPr>
              <w:t>建设项目性质</w:t>
            </w:r>
          </w:p>
        </w:tc>
        <w:tc>
          <w:tcPr>
            <w:tcW w:w="7559" w:type="dxa"/>
            <w:gridSpan w:val="7"/>
            <w:vAlign w:val="center"/>
          </w:tcPr>
          <w:p>
            <w:pPr>
              <w:autoSpaceDE w:val="0"/>
              <w:autoSpaceDN w:val="0"/>
              <w:adjustRightInd w:val="0"/>
              <w:spacing w:line="276" w:lineRule="auto"/>
              <w:jc w:val="center"/>
              <w:rPr>
                <w:kern w:val="0"/>
                <w:sz w:val="24"/>
                <w:szCs w:val="22"/>
              </w:rPr>
            </w:pPr>
            <w:r>
              <w:rPr>
                <w:kern w:val="0"/>
                <w:sz w:val="24"/>
                <w:szCs w:val="22"/>
              </w:rPr>
              <w:t>新建         改扩建         更名√            迁建     (划√)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22"/>
                <w:lang w:eastAsia="en-US"/>
              </w:rPr>
            </w:pPr>
            <w:r>
              <w:rPr>
                <w:rFonts w:hint="eastAsia"/>
                <w:kern w:val="0"/>
                <w:sz w:val="24"/>
                <w:szCs w:val="22"/>
                <w:lang w:eastAsia="en-US"/>
              </w:rPr>
              <w:t>行业类别及代码</w:t>
            </w:r>
          </w:p>
        </w:tc>
        <w:tc>
          <w:tcPr>
            <w:tcW w:w="7559" w:type="dxa"/>
            <w:gridSpan w:val="7"/>
            <w:vAlign w:val="center"/>
          </w:tcPr>
          <w:p>
            <w:pPr>
              <w:autoSpaceDE w:val="0"/>
              <w:autoSpaceDN w:val="0"/>
              <w:adjustRightInd w:val="0"/>
              <w:spacing w:line="276" w:lineRule="auto"/>
              <w:jc w:val="center"/>
              <w:rPr>
                <w:kern w:val="0"/>
                <w:sz w:val="24"/>
                <w:szCs w:val="22"/>
              </w:rPr>
            </w:pPr>
            <w:r>
              <w:rPr>
                <w:rFonts w:hint="eastAsia"/>
                <w:kern w:val="0"/>
                <w:sz w:val="24"/>
                <w:szCs w:val="22"/>
              </w:rPr>
              <w:t>C4218珠宝首饰及有关物品制造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22"/>
                <w:lang w:eastAsia="en-US"/>
              </w:rPr>
            </w:pPr>
            <w:r>
              <w:rPr>
                <w:kern w:val="0"/>
                <w:sz w:val="24"/>
                <w:szCs w:val="22"/>
                <w:lang w:eastAsia="en-US"/>
              </w:rPr>
              <w:t>主要产品名称</w:t>
            </w:r>
          </w:p>
        </w:tc>
        <w:tc>
          <w:tcPr>
            <w:tcW w:w="7559" w:type="dxa"/>
            <w:gridSpan w:val="7"/>
            <w:vAlign w:val="center"/>
          </w:tcPr>
          <w:p>
            <w:pPr>
              <w:autoSpaceDE w:val="0"/>
              <w:autoSpaceDN w:val="0"/>
              <w:adjustRightInd w:val="0"/>
              <w:spacing w:line="276" w:lineRule="auto"/>
              <w:jc w:val="center"/>
              <w:rPr>
                <w:kern w:val="0"/>
                <w:sz w:val="24"/>
                <w:szCs w:val="22"/>
              </w:rPr>
            </w:pPr>
            <w:r>
              <w:rPr>
                <w:kern w:val="0"/>
                <w:sz w:val="24"/>
                <w:szCs w:val="22"/>
              </w:rPr>
              <w:t>黄金首饰</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22"/>
                <w:lang w:eastAsia="en-US"/>
              </w:rPr>
            </w:pPr>
            <w:r>
              <w:rPr>
                <w:kern w:val="0"/>
                <w:sz w:val="24"/>
                <w:szCs w:val="22"/>
                <w:lang w:eastAsia="en-US"/>
              </w:rPr>
              <w:t>设计生产能力</w:t>
            </w:r>
          </w:p>
        </w:tc>
        <w:tc>
          <w:tcPr>
            <w:tcW w:w="7559" w:type="dxa"/>
            <w:gridSpan w:val="7"/>
            <w:vAlign w:val="center"/>
          </w:tcPr>
          <w:p>
            <w:pPr>
              <w:autoSpaceDE w:val="0"/>
              <w:autoSpaceDN w:val="0"/>
              <w:adjustRightInd w:val="0"/>
              <w:spacing w:line="276" w:lineRule="auto"/>
              <w:jc w:val="center"/>
              <w:rPr>
                <w:kern w:val="0"/>
                <w:sz w:val="24"/>
                <w:szCs w:val="22"/>
              </w:rPr>
            </w:pPr>
            <w:r>
              <w:rPr>
                <w:kern w:val="0"/>
                <w:sz w:val="24"/>
                <w:szCs w:val="22"/>
              </w:rPr>
              <w:t>黄金首饰</w:t>
            </w:r>
            <w:r>
              <w:rPr>
                <w:rFonts w:hint="eastAsia"/>
                <w:kern w:val="0"/>
                <w:sz w:val="24"/>
                <w:szCs w:val="22"/>
              </w:rPr>
              <w:t>20000件、铂金首饰10000件、钯金首饰5000件</w:t>
            </w:r>
          </w:p>
          <w:p>
            <w:pPr>
              <w:autoSpaceDE w:val="0"/>
              <w:autoSpaceDN w:val="0"/>
              <w:adjustRightInd w:val="0"/>
              <w:spacing w:line="276" w:lineRule="auto"/>
              <w:jc w:val="center"/>
              <w:rPr>
                <w:kern w:val="0"/>
                <w:sz w:val="24"/>
                <w:szCs w:val="22"/>
              </w:rPr>
            </w:pPr>
            <w:r>
              <w:rPr>
                <w:rFonts w:hint="eastAsia"/>
                <w:kern w:val="0"/>
                <w:sz w:val="24"/>
                <w:szCs w:val="22"/>
              </w:rPr>
              <w:t>K金首饰10000件、白银首饰10000件、工艺品5000件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22"/>
                <w:lang w:eastAsia="en-US"/>
              </w:rPr>
            </w:pPr>
            <w:r>
              <w:rPr>
                <w:kern w:val="0"/>
                <w:sz w:val="24"/>
                <w:szCs w:val="22"/>
                <w:lang w:eastAsia="en-US"/>
              </w:rPr>
              <w:t>实际生产能力</w:t>
            </w:r>
          </w:p>
        </w:tc>
        <w:tc>
          <w:tcPr>
            <w:tcW w:w="7559" w:type="dxa"/>
            <w:gridSpan w:val="7"/>
            <w:vAlign w:val="center"/>
          </w:tcPr>
          <w:p>
            <w:pPr>
              <w:autoSpaceDE w:val="0"/>
              <w:autoSpaceDN w:val="0"/>
              <w:adjustRightInd w:val="0"/>
              <w:spacing w:line="276" w:lineRule="auto"/>
              <w:jc w:val="center"/>
              <w:rPr>
                <w:kern w:val="0"/>
                <w:sz w:val="24"/>
                <w:szCs w:val="22"/>
              </w:rPr>
            </w:pPr>
            <w:r>
              <w:rPr>
                <w:kern w:val="0"/>
                <w:sz w:val="24"/>
                <w:szCs w:val="22"/>
              </w:rPr>
              <w:t>黄金首饰</w:t>
            </w:r>
            <w:r>
              <w:rPr>
                <w:rFonts w:hint="eastAsia"/>
                <w:kern w:val="0"/>
                <w:sz w:val="24"/>
                <w:szCs w:val="22"/>
              </w:rPr>
              <w:t>20000件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27" w:hRule="atLeast"/>
          <w:jc w:val="center"/>
        </w:trPr>
        <w:tc>
          <w:tcPr>
            <w:tcW w:w="1843" w:type="dxa"/>
            <w:vAlign w:val="center"/>
          </w:tcPr>
          <w:p>
            <w:pPr>
              <w:autoSpaceDE w:val="0"/>
              <w:autoSpaceDN w:val="0"/>
              <w:adjustRightInd w:val="0"/>
              <w:snapToGrid w:val="0"/>
              <w:spacing w:line="276" w:lineRule="auto"/>
              <w:jc w:val="center"/>
              <w:rPr>
                <w:kern w:val="0"/>
                <w:sz w:val="24"/>
                <w:szCs w:val="22"/>
                <w:lang w:eastAsia="en-US"/>
              </w:rPr>
            </w:pPr>
            <w:r>
              <w:rPr>
                <w:kern w:val="0"/>
                <w:sz w:val="24"/>
                <w:szCs w:val="22"/>
                <w:lang w:eastAsia="en-US"/>
              </w:rPr>
              <w:t>环评时间</w:t>
            </w:r>
          </w:p>
        </w:tc>
        <w:tc>
          <w:tcPr>
            <w:tcW w:w="2890" w:type="dxa"/>
            <w:gridSpan w:val="2"/>
            <w:vAlign w:val="center"/>
          </w:tcPr>
          <w:p>
            <w:pPr>
              <w:autoSpaceDE w:val="0"/>
              <w:autoSpaceDN w:val="0"/>
              <w:adjustRightInd w:val="0"/>
              <w:spacing w:line="276" w:lineRule="auto"/>
              <w:jc w:val="center"/>
              <w:rPr>
                <w:kern w:val="0"/>
                <w:sz w:val="24"/>
                <w:szCs w:val="22"/>
                <w:lang w:eastAsia="en-US"/>
              </w:rPr>
            </w:pPr>
            <w:r>
              <w:rPr>
                <w:kern w:val="0"/>
                <w:sz w:val="24"/>
                <w:szCs w:val="22"/>
                <w:lang w:eastAsia="en-US"/>
              </w:rPr>
              <w:t>20</w:t>
            </w:r>
            <w:r>
              <w:rPr>
                <w:rFonts w:hint="eastAsia"/>
                <w:kern w:val="0"/>
                <w:sz w:val="24"/>
                <w:szCs w:val="22"/>
              </w:rPr>
              <w:t>12</w:t>
            </w:r>
            <w:r>
              <w:rPr>
                <w:kern w:val="0"/>
                <w:sz w:val="24"/>
                <w:szCs w:val="22"/>
                <w:lang w:eastAsia="en-US"/>
              </w:rPr>
              <w:t>年</w:t>
            </w:r>
            <w:r>
              <w:rPr>
                <w:rFonts w:hint="eastAsia"/>
                <w:kern w:val="0"/>
                <w:sz w:val="24"/>
                <w:szCs w:val="22"/>
              </w:rPr>
              <w:t>09</w:t>
            </w:r>
            <w:r>
              <w:rPr>
                <w:kern w:val="0"/>
                <w:sz w:val="24"/>
                <w:szCs w:val="22"/>
                <w:lang w:eastAsia="en-US"/>
              </w:rPr>
              <w:t>月</w:t>
            </w:r>
          </w:p>
        </w:tc>
        <w:tc>
          <w:tcPr>
            <w:tcW w:w="1701" w:type="dxa"/>
            <w:gridSpan w:val="2"/>
            <w:vAlign w:val="center"/>
          </w:tcPr>
          <w:p>
            <w:pPr>
              <w:autoSpaceDE w:val="0"/>
              <w:autoSpaceDN w:val="0"/>
              <w:adjustRightInd w:val="0"/>
              <w:spacing w:line="276" w:lineRule="auto"/>
              <w:jc w:val="center"/>
              <w:rPr>
                <w:kern w:val="0"/>
                <w:sz w:val="24"/>
                <w:szCs w:val="22"/>
                <w:lang w:eastAsia="en-US"/>
              </w:rPr>
            </w:pPr>
            <w:r>
              <w:rPr>
                <w:kern w:val="0"/>
                <w:sz w:val="24"/>
                <w:szCs w:val="22"/>
                <w:lang w:eastAsia="en-US"/>
              </w:rPr>
              <w:t>开工日期</w:t>
            </w:r>
          </w:p>
        </w:tc>
        <w:tc>
          <w:tcPr>
            <w:tcW w:w="2968" w:type="dxa"/>
            <w:gridSpan w:val="3"/>
            <w:vAlign w:val="center"/>
          </w:tcPr>
          <w:p>
            <w:pPr>
              <w:autoSpaceDE w:val="0"/>
              <w:autoSpaceDN w:val="0"/>
              <w:adjustRightInd w:val="0"/>
              <w:spacing w:line="276" w:lineRule="auto"/>
              <w:jc w:val="center"/>
              <w:rPr>
                <w:kern w:val="0"/>
                <w:sz w:val="24"/>
                <w:szCs w:val="22"/>
                <w:lang w:eastAsia="en-US"/>
              </w:rPr>
            </w:pPr>
            <w:r>
              <w:rPr>
                <w:kern w:val="0"/>
                <w:sz w:val="24"/>
                <w:szCs w:val="22"/>
                <w:lang w:eastAsia="en-US"/>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843" w:type="dxa"/>
            <w:vAlign w:val="center"/>
          </w:tcPr>
          <w:p>
            <w:pPr>
              <w:autoSpaceDE w:val="0"/>
              <w:autoSpaceDN w:val="0"/>
              <w:adjustRightInd w:val="0"/>
              <w:snapToGrid w:val="0"/>
              <w:jc w:val="center"/>
              <w:rPr>
                <w:kern w:val="0"/>
                <w:sz w:val="24"/>
                <w:szCs w:val="22"/>
                <w:lang w:eastAsia="en-US"/>
              </w:rPr>
            </w:pPr>
            <w:r>
              <w:rPr>
                <w:kern w:val="0"/>
                <w:sz w:val="24"/>
                <w:szCs w:val="22"/>
                <w:lang w:eastAsia="en-US"/>
              </w:rPr>
              <w:t>试生产</w:t>
            </w:r>
          </w:p>
          <w:p>
            <w:pPr>
              <w:autoSpaceDE w:val="0"/>
              <w:autoSpaceDN w:val="0"/>
              <w:adjustRightInd w:val="0"/>
              <w:snapToGrid w:val="0"/>
              <w:jc w:val="center"/>
              <w:rPr>
                <w:kern w:val="0"/>
                <w:sz w:val="24"/>
                <w:szCs w:val="22"/>
                <w:lang w:eastAsia="en-US"/>
              </w:rPr>
            </w:pPr>
            <w:r>
              <w:rPr>
                <w:kern w:val="0"/>
                <w:sz w:val="24"/>
                <w:szCs w:val="22"/>
                <w:lang w:eastAsia="en-US"/>
              </w:rPr>
              <w:t>批准时间</w:t>
            </w:r>
          </w:p>
        </w:tc>
        <w:tc>
          <w:tcPr>
            <w:tcW w:w="2890" w:type="dxa"/>
            <w:gridSpan w:val="2"/>
            <w:vAlign w:val="center"/>
          </w:tcPr>
          <w:p>
            <w:pPr>
              <w:autoSpaceDE w:val="0"/>
              <w:autoSpaceDN w:val="0"/>
              <w:adjustRightInd w:val="0"/>
              <w:jc w:val="center"/>
              <w:rPr>
                <w:kern w:val="0"/>
                <w:sz w:val="24"/>
                <w:szCs w:val="22"/>
                <w:lang w:eastAsia="en-US"/>
              </w:rPr>
            </w:pPr>
            <w:r>
              <w:rPr>
                <w:kern w:val="0"/>
                <w:sz w:val="24"/>
                <w:szCs w:val="22"/>
                <w:lang w:eastAsia="en-US"/>
              </w:rPr>
              <w:t>/</w:t>
            </w:r>
          </w:p>
        </w:tc>
        <w:tc>
          <w:tcPr>
            <w:tcW w:w="1701" w:type="dxa"/>
            <w:gridSpan w:val="2"/>
            <w:vAlign w:val="center"/>
          </w:tcPr>
          <w:p>
            <w:pPr>
              <w:autoSpaceDE w:val="0"/>
              <w:autoSpaceDN w:val="0"/>
              <w:adjustRightInd w:val="0"/>
              <w:jc w:val="center"/>
              <w:rPr>
                <w:kern w:val="0"/>
                <w:sz w:val="24"/>
                <w:szCs w:val="22"/>
                <w:lang w:eastAsia="en-US"/>
              </w:rPr>
            </w:pPr>
            <w:r>
              <w:rPr>
                <w:kern w:val="0"/>
                <w:sz w:val="24"/>
                <w:szCs w:val="22"/>
                <w:lang w:eastAsia="en-US"/>
              </w:rPr>
              <w:t>现场监测时间</w:t>
            </w:r>
          </w:p>
        </w:tc>
        <w:tc>
          <w:tcPr>
            <w:tcW w:w="2968" w:type="dxa"/>
            <w:gridSpan w:val="3"/>
            <w:vAlign w:val="center"/>
          </w:tcPr>
          <w:p>
            <w:pPr>
              <w:autoSpaceDE w:val="0"/>
              <w:autoSpaceDN w:val="0"/>
              <w:adjustRightInd w:val="0"/>
              <w:spacing w:line="276" w:lineRule="auto"/>
              <w:jc w:val="center"/>
              <w:rPr>
                <w:kern w:val="0"/>
                <w:sz w:val="24"/>
                <w:szCs w:val="22"/>
              </w:rPr>
            </w:pPr>
            <w:r>
              <w:rPr>
                <w:kern w:val="0"/>
                <w:sz w:val="24"/>
                <w:szCs w:val="22"/>
              </w:rPr>
              <w:t>2017年0</w:t>
            </w:r>
            <w:r>
              <w:rPr>
                <w:rFonts w:hint="eastAsia"/>
                <w:kern w:val="0"/>
                <w:sz w:val="24"/>
                <w:szCs w:val="22"/>
              </w:rPr>
              <w:t>4</w:t>
            </w:r>
            <w:r>
              <w:rPr>
                <w:kern w:val="0"/>
                <w:sz w:val="24"/>
                <w:szCs w:val="22"/>
              </w:rPr>
              <w:t>月</w:t>
            </w:r>
            <w:r>
              <w:rPr>
                <w:rFonts w:hint="eastAsia"/>
                <w:kern w:val="0"/>
                <w:sz w:val="24"/>
                <w:szCs w:val="22"/>
              </w:rPr>
              <w:t>24</w:t>
            </w:r>
            <w:r>
              <w:rPr>
                <w:kern w:val="0"/>
                <w:sz w:val="24"/>
                <w:szCs w:val="22"/>
              </w:rPr>
              <w:t>-</w:t>
            </w:r>
            <w:r>
              <w:rPr>
                <w:rFonts w:hint="eastAsia"/>
                <w:kern w:val="0"/>
                <w:sz w:val="24"/>
                <w:szCs w:val="22"/>
              </w:rPr>
              <w:t>25</w:t>
            </w:r>
            <w:r>
              <w:rPr>
                <w:kern w:val="0"/>
                <w:sz w:val="24"/>
                <w:szCs w:val="22"/>
              </w:rPr>
              <w:t>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843" w:type="dxa"/>
            <w:vAlign w:val="center"/>
          </w:tcPr>
          <w:p>
            <w:pPr>
              <w:autoSpaceDE w:val="0"/>
              <w:autoSpaceDN w:val="0"/>
              <w:jc w:val="center"/>
              <w:rPr>
                <w:kern w:val="0"/>
                <w:sz w:val="24"/>
                <w:szCs w:val="22"/>
                <w:lang w:eastAsia="en-US"/>
              </w:rPr>
            </w:pPr>
            <w:r>
              <w:rPr>
                <w:kern w:val="0"/>
                <w:sz w:val="24"/>
                <w:szCs w:val="22"/>
                <w:lang w:eastAsia="en-US"/>
              </w:rPr>
              <w:t>环评报告表</w:t>
            </w:r>
          </w:p>
          <w:p>
            <w:pPr>
              <w:autoSpaceDE w:val="0"/>
              <w:autoSpaceDN w:val="0"/>
              <w:jc w:val="center"/>
              <w:rPr>
                <w:kern w:val="0"/>
                <w:sz w:val="24"/>
                <w:szCs w:val="22"/>
                <w:lang w:eastAsia="en-US"/>
              </w:rPr>
            </w:pPr>
            <w:r>
              <w:rPr>
                <w:kern w:val="0"/>
                <w:sz w:val="24"/>
                <w:szCs w:val="22"/>
                <w:lang w:eastAsia="en-US"/>
              </w:rPr>
              <w:t>审批部门</w:t>
            </w:r>
          </w:p>
        </w:tc>
        <w:tc>
          <w:tcPr>
            <w:tcW w:w="2890" w:type="dxa"/>
            <w:gridSpan w:val="2"/>
            <w:vAlign w:val="center"/>
          </w:tcPr>
          <w:p>
            <w:pPr>
              <w:autoSpaceDE w:val="0"/>
              <w:autoSpaceDN w:val="0"/>
              <w:jc w:val="center"/>
              <w:rPr>
                <w:kern w:val="0"/>
                <w:sz w:val="24"/>
                <w:szCs w:val="22"/>
              </w:rPr>
            </w:pPr>
            <w:r>
              <w:rPr>
                <w:kern w:val="0"/>
                <w:sz w:val="24"/>
                <w:szCs w:val="22"/>
              </w:rPr>
              <w:t>深圳市盐田区环境保护与水务局</w:t>
            </w:r>
          </w:p>
        </w:tc>
        <w:tc>
          <w:tcPr>
            <w:tcW w:w="1701" w:type="dxa"/>
            <w:gridSpan w:val="2"/>
            <w:vAlign w:val="center"/>
          </w:tcPr>
          <w:p>
            <w:pPr>
              <w:autoSpaceDE w:val="0"/>
              <w:autoSpaceDN w:val="0"/>
              <w:jc w:val="center"/>
              <w:rPr>
                <w:kern w:val="0"/>
                <w:sz w:val="24"/>
                <w:szCs w:val="22"/>
                <w:lang w:eastAsia="en-US"/>
              </w:rPr>
            </w:pPr>
            <w:r>
              <w:rPr>
                <w:kern w:val="0"/>
                <w:sz w:val="24"/>
                <w:szCs w:val="22"/>
                <w:lang w:eastAsia="en-US"/>
              </w:rPr>
              <w:t>环评报告表</w:t>
            </w:r>
          </w:p>
          <w:p>
            <w:pPr>
              <w:autoSpaceDE w:val="0"/>
              <w:autoSpaceDN w:val="0"/>
              <w:jc w:val="center"/>
              <w:rPr>
                <w:kern w:val="0"/>
                <w:sz w:val="24"/>
                <w:szCs w:val="22"/>
                <w:lang w:eastAsia="en-US"/>
              </w:rPr>
            </w:pPr>
            <w:r>
              <w:rPr>
                <w:kern w:val="0"/>
                <w:sz w:val="24"/>
                <w:szCs w:val="22"/>
                <w:lang w:eastAsia="en-US"/>
              </w:rPr>
              <w:t>编制单位</w:t>
            </w:r>
          </w:p>
        </w:tc>
        <w:tc>
          <w:tcPr>
            <w:tcW w:w="2968" w:type="dxa"/>
            <w:gridSpan w:val="3"/>
            <w:vAlign w:val="center"/>
          </w:tcPr>
          <w:p>
            <w:pPr>
              <w:autoSpaceDE w:val="0"/>
              <w:autoSpaceDN w:val="0"/>
              <w:jc w:val="center"/>
              <w:rPr>
                <w:kern w:val="0"/>
                <w:sz w:val="24"/>
                <w:szCs w:val="22"/>
              </w:rPr>
            </w:pPr>
            <w:r>
              <w:rPr>
                <w:rFonts w:hint="eastAsia"/>
                <w:sz w:val="24"/>
              </w:rPr>
              <w:t>南京大学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 w:hRule="atLeast"/>
          <w:jc w:val="center"/>
        </w:trPr>
        <w:tc>
          <w:tcPr>
            <w:tcW w:w="1843" w:type="dxa"/>
            <w:vAlign w:val="center"/>
          </w:tcPr>
          <w:p>
            <w:pPr>
              <w:autoSpaceDE w:val="0"/>
              <w:autoSpaceDN w:val="0"/>
              <w:jc w:val="center"/>
              <w:rPr>
                <w:kern w:val="0"/>
                <w:sz w:val="24"/>
                <w:szCs w:val="22"/>
                <w:lang w:eastAsia="en-US"/>
              </w:rPr>
            </w:pPr>
            <w:r>
              <w:rPr>
                <w:kern w:val="0"/>
                <w:sz w:val="24"/>
                <w:szCs w:val="22"/>
                <w:lang w:eastAsia="en-US"/>
              </w:rPr>
              <w:t>环保设施</w:t>
            </w:r>
          </w:p>
          <w:p>
            <w:pPr>
              <w:autoSpaceDE w:val="0"/>
              <w:autoSpaceDN w:val="0"/>
              <w:jc w:val="center"/>
              <w:rPr>
                <w:kern w:val="0"/>
                <w:sz w:val="24"/>
                <w:szCs w:val="22"/>
                <w:lang w:eastAsia="en-US"/>
              </w:rPr>
            </w:pPr>
            <w:r>
              <w:rPr>
                <w:kern w:val="0"/>
                <w:sz w:val="24"/>
                <w:szCs w:val="22"/>
                <w:lang w:eastAsia="en-US"/>
              </w:rPr>
              <w:t>设计单位</w:t>
            </w:r>
          </w:p>
        </w:tc>
        <w:tc>
          <w:tcPr>
            <w:tcW w:w="2890" w:type="dxa"/>
            <w:gridSpan w:val="2"/>
            <w:vAlign w:val="center"/>
          </w:tcPr>
          <w:p>
            <w:pPr>
              <w:autoSpaceDE w:val="0"/>
              <w:autoSpaceDN w:val="0"/>
              <w:jc w:val="center"/>
              <w:rPr>
                <w:color w:val="FF0000"/>
                <w:kern w:val="0"/>
                <w:sz w:val="24"/>
                <w:szCs w:val="22"/>
                <w:highlight w:val="yellow"/>
              </w:rPr>
            </w:pPr>
            <w:r>
              <w:rPr>
                <w:sz w:val="24"/>
              </w:rPr>
              <w:t>深圳市鸿东环境工程有限公司</w:t>
            </w:r>
          </w:p>
        </w:tc>
        <w:tc>
          <w:tcPr>
            <w:tcW w:w="1701" w:type="dxa"/>
            <w:gridSpan w:val="2"/>
            <w:vAlign w:val="center"/>
          </w:tcPr>
          <w:p>
            <w:pPr>
              <w:autoSpaceDE w:val="0"/>
              <w:autoSpaceDN w:val="0"/>
              <w:jc w:val="center"/>
              <w:rPr>
                <w:kern w:val="0"/>
                <w:sz w:val="24"/>
                <w:szCs w:val="22"/>
                <w:lang w:eastAsia="en-US"/>
              </w:rPr>
            </w:pPr>
            <w:r>
              <w:rPr>
                <w:kern w:val="0"/>
                <w:sz w:val="24"/>
                <w:szCs w:val="22"/>
                <w:lang w:eastAsia="en-US"/>
              </w:rPr>
              <w:t>环保设施</w:t>
            </w:r>
          </w:p>
          <w:p>
            <w:pPr>
              <w:autoSpaceDE w:val="0"/>
              <w:autoSpaceDN w:val="0"/>
              <w:jc w:val="center"/>
              <w:rPr>
                <w:kern w:val="0"/>
                <w:sz w:val="24"/>
                <w:szCs w:val="22"/>
                <w:lang w:eastAsia="en-US"/>
              </w:rPr>
            </w:pPr>
            <w:r>
              <w:rPr>
                <w:kern w:val="0"/>
                <w:sz w:val="24"/>
                <w:szCs w:val="22"/>
                <w:lang w:eastAsia="en-US"/>
              </w:rPr>
              <w:t>施工单位</w:t>
            </w:r>
          </w:p>
        </w:tc>
        <w:tc>
          <w:tcPr>
            <w:tcW w:w="2968" w:type="dxa"/>
            <w:gridSpan w:val="3"/>
            <w:vAlign w:val="center"/>
          </w:tcPr>
          <w:p>
            <w:pPr>
              <w:autoSpaceDE w:val="0"/>
              <w:autoSpaceDN w:val="0"/>
              <w:jc w:val="center"/>
              <w:rPr>
                <w:color w:val="FF0000"/>
                <w:kern w:val="0"/>
                <w:sz w:val="24"/>
                <w:szCs w:val="22"/>
              </w:rPr>
            </w:pPr>
            <w:r>
              <w:rPr>
                <w:sz w:val="24"/>
              </w:rPr>
              <w:t>深圳市鸿东环境工程有限公司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843" w:type="dxa"/>
            <w:vAlign w:val="center"/>
          </w:tcPr>
          <w:p>
            <w:pPr>
              <w:autoSpaceDE w:val="0"/>
              <w:autoSpaceDN w:val="0"/>
              <w:spacing w:line="276" w:lineRule="auto"/>
              <w:jc w:val="center"/>
              <w:rPr>
                <w:kern w:val="0"/>
                <w:sz w:val="24"/>
                <w:szCs w:val="22"/>
                <w:lang w:eastAsia="en-US"/>
              </w:rPr>
            </w:pPr>
            <w:r>
              <w:rPr>
                <w:kern w:val="0"/>
                <w:sz w:val="24"/>
                <w:szCs w:val="22"/>
                <w:lang w:eastAsia="en-US"/>
              </w:rPr>
              <w:t>投资总概算</w:t>
            </w:r>
          </w:p>
        </w:tc>
        <w:tc>
          <w:tcPr>
            <w:tcW w:w="1756" w:type="dxa"/>
            <w:vAlign w:val="center"/>
          </w:tcPr>
          <w:p>
            <w:pPr>
              <w:autoSpaceDE w:val="0"/>
              <w:autoSpaceDN w:val="0"/>
              <w:spacing w:line="276" w:lineRule="auto"/>
              <w:jc w:val="center"/>
              <w:rPr>
                <w:kern w:val="0"/>
                <w:sz w:val="24"/>
                <w:szCs w:val="22"/>
              </w:rPr>
            </w:pPr>
            <w:r>
              <w:rPr>
                <w:rFonts w:hint="eastAsia"/>
                <w:kern w:val="0"/>
                <w:sz w:val="24"/>
                <w:szCs w:val="22"/>
              </w:rPr>
              <w:t>500</w:t>
            </w:r>
            <w:r>
              <w:rPr>
                <w:kern w:val="0"/>
                <w:sz w:val="24"/>
                <w:szCs w:val="22"/>
                <w:lang w:eastAsia="en-US"/>
              </w:rPr>
              <w:t>万</w:t>
            </w:r>
          </w:p>
        </w:tc>
        <w:tc>
          <w:tcPr>
            <w:tcW w:w="2366" w:type="dxa"/>
            <w:gridSpan w:val="2"/>
            <w:vAlign w:val="center"/>
          </w:tcPr>
          <w:p>
            <w:pPr>
              <w:autoSpaceDE w:val="0"/>
              <w:autoSpaceDN w:val="0"/>
              <w:spacing w:line="276" w:lineRule="auto"/>
              <w:jc w:val="center"/>
              <w:rPr>
                <w:kern w:val="0"/>
                <w:sz w:val="24"/>
                <w:szCs w:val="22"/>
                <w:lang w:eastAsia="en-US"/>
              </w:rPr>
            </w:pPr>
            <w:r>
              <w:rPr>
                <w:kern w:val="0"/>
                <w:sz w:val="24"/>
                <w:szCs w:val="22"/>
                <w:lang w:eastAsia="en-US"/>
              </w:rPr>
              <w:t>环保投资总概算</w:t>
            </w:r>
          </w:p>
        </w:tc>
        <w:tc>
          <w:tcPr>
            <w:tcW w:w="1231" w:type="dxa"/>
            <w:gridSpan w:val="2"/>
            <w:vAlign w:val="center"/>
          </w:tcPr>
          <w:p>
            <w:pPr>
              <w:autoSpaceDE w:val="0"/>
              <w:autoSpaceDN w:val="0"/>
              <w:spacing w:line="276" w:lineRule="auto"/>
              <w:jc w:val="center"/>
              <w:rPr>
                <w:kern w:val="0"/>
                <w:sz w:val="24"/>
                <w:szCs w:val="22"/>
                <w:lang w:eastAsia="en-US"/>
              </w:rPr>
            </w:pPr>
            <w:r>
              <w:rPr>
                <w:rFonts w:hint="eastAsia"/>
                <w:kern w:val="0"/>
                <w:sz w:val="24"/>
                <w:szCs w:val="22"/>
              </w:rPr>
              <w:t>50</w:t>
            </w:r>
            <w:r>
              <w:rPr>
                <w:kern w:val="0"/>
                <w:sz w:val="24"/>
                <w:szCs w:val="22"/>
                <w:lang w:eastAsia="en-US"/>
              </w:rPr>
              <w:t>万元</w:t>
            </w:r>
          </w:p>
        </w:tc>
        <w:tc>
          <w:tcPr>
            <w:tcW w:w="1223" w:type="dxa"/>
            <w:vAlign w:val="center"/>
          </w:tcPr>
          <w:p>
            <w:pPr>
              <w:autoSpaceDE w:val="0"/>
              <w:autoSpaceDN w:val="0"/>
              <w:spacing w:line="276" w:lineRule="auto"/>
              <w:jc w:val="center"/>
              <w:rPr>
                <w:kern w:val="0"/>
                <w:sz w:val="24"/>
                <w:szCs w:val="22"/>
                <w:lang w:eastAsia="en-US"/>
              </w:rPr>
            </w:pPr>
            <w:r>
              <w:rPr>
                <w:kern w:val="0"/>
                <w:sz w:val="24"/>
                <w:szCs w:val="22"/>
                <w:lang w:eastAsia="en-US"/>
              </w:rPr>
              <w:t>比例</w:t>
            </w:r>
          </w:p>
        </w:tc>
        <w:tc>
          <w:tcPr>
            <w:tcW w:w="983" w:type="dxa"/>
            <w:vAlign w:val="center"/>
          </w:tcPr>
          <w:p>
            <w:pPr>
              <w:autoSpaceDE w:val="0"/>
              <w:autoSpaceDN w:val="0"/>
              <w:spacing w:line="276" w:lineRule="auto"/>
              <w:jc w:val="center"/>
              <w:rPr>
                <w:kern w:val="0"/>
                <w:sz w:val="24"/>
                <w:szCs w:val="22"/>
              </w:rPr>
            </w:pPr>
            <w:r>
              <w:rPr>
                <w:rFonts w:hint="eastAsia"/>
                <w:kern w:val="0"/>
                <w:sz w:val="24"/>
                <w:szCs w:val="22"/>
              </w:rPr>
              <w:t>10</w:t>
            </w:r>
            <w:r>
              <w:rPr>
                <w:kern w:val="0"/>
                <w:sz w:val="24"/>
                <w:szCs w:val="22"/>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450" w:hRule="atLeast"/>
          <w:jc w:val="center"/>
        </w:trPr>
        <w:tc>
          <w:tcPr>
            <w:tcW w:w="1843" w:type="dxa"/>
            <w:vAlign w:val="center"/>
          </w:tcPr>
          <w:p>
            <w:pPr>
              <w:autoSpaceDE w:val="0"/>
              <w:autoSpaceDN w:val="0"/>
              <w:spacing w:line="276" w:lineRule="auto"/>
              <w:jc w:val="center"/>
              <w:rPr>
                <w:kern w:val="0"/>
                <w:sz w:val="24"/>
                <w:szCs w:val="22"/>
                <w:lang w:eastAsia="en-US"/>
              </w:rPr>
            </w:pPr>
            <w:r>
              <w:rPr>
                <w:kern w:val="0"/>
                <w:sz w:val="24"/>
                <w:szCs w:val="22"/>
                <w:lang w:eastAsia="en-US"/>
              </w:rPr>
              <w:t>实际总概算</w:t>
            </w:r>
          </w:p>
        </w:tc>
        <w:tc>
          <w:tcPr>
            <w:tcW w:w="1756" w:type="dxa"/>
            <w:vAlign w:val="center"/>
          </w:tcPr>
          <w:p>
            <w:pPr>
              <w:autoSpaceDE w:val="0"/>
              <w:autoSpaceDN w:val="0"/>
              <w:spacing w:line="276" w:lineRule="auto"/>
              <w:jc w:val="center"/>
              <w:rPr>
                <w:kern w:val="0"/>
                <w:sz w:val="24"/>
                <w:szCs w:val="22"/>
              </w:rPr>
            </w:pPr>
            <w:r>
              <w:rPr>
                <w:rFonts w:hint="eastAsia"/>
                <w:kern w:val="0"/>
                <w:sz w:val="24"/>
                <w:szCs w:val="22"/>
              </w:rPr>
              <w:t>100</w:t>
            </w:r>
            <w:r>
              <w:rPr>
                <w:kern w:val="0"/>
                <w:sz w:val="24"/>
                <w:szCs w:val="22"/>
                <w:lang w:eastAsia="en-US"/>
              </w:rPr>
              <w:t>万</w:t>
            </w:r>
          </w:p>
        </w:tc>
        <w:tc>
          <w:tcPr>
            <w:tcW w:w="2366" w:type="dxa"/>
            <w:gridSpan w:val="2"/>
            <w:vAlign w:val="center"/>
          </w:tcPr>
          <w:p>
            <w:pPr>
              <w:autoSpaceDE w:val="0"/>
              <w:autoSpaceDN w:val="0"/>
              <w:spacing w:line="276" w:lineRule="auto"/>
              <w:jc w:val="center"/>
              <w:rPr>
                <w:kern w:val="0"/>
                <w:sz w:val="24"/>
                <w:szCs w:val="22"/>
                <w:lang w:eastAsia="en-US"/>
              </w:rPr>
            </w:pPr>
            <w:r>
              <w:rPr>
                <w:kern w:val="0"/>
                <w:sz w:val="24"/>
                <w:szCs w:val="22"/>
                <w:lang w:eastAsia="en-US"/>
              </w:rPr>
              <w:t>环保总投资</w:t>
            </w:r>
          </w:p>
        </w:tc>
        <w:tc>
          <w:tcPr>
            <w:tcW w:w="1231" w:type="dxa"/>
            <w:gridSpan w:val="2"/>
            <w:vAlign w:val="center"/>
          </w:tcPr>
          <w:p>
            <w:pPr>
              <w:autoSpaceDE w:val="0"/>
              <w:autoSpaceDN w:val="0"/>
              <w:spacing w:line="276" w:lineRule="auto"/>
              <w:jc w:val="center"/>
              <w:rPr>
                <w:kern w:val="0"/>
                <w:sz w:val="24"/>
                <w:szCs w:val="22"/>
                <w:lang w:eastAsia="en-US"/>
              </w:rPr>
            </w:pPr>
            <w:r>
              <w:rPr>
                <w:rFonts w:hint="eastAsia"/>
                <w:kern w:val="0"/>
                <w:sz w:val="24"/>
                <w:szCs w:val="22"/>
              </w:rPr>
              <w:t>20</w:t>
            </w:r>
            <w:r>
              <w:rPr>
                <w:kern w:val="0"/>
                <w:sz w:val="24"/>
                <w:szCs w:val="22"/>
                <w:lang w:eastAsia="en-US"/>
              </w:rPr>
              <w:t>万元</w:t>
            </w:r>
          </w:p>
        </w:tc>
        <w:tc>
          <w:tcPr>
            <w:tcW w:w="1223" w:type="dxa"/>
            <w:vAlign w:val="center"/>
          </w:tcPr>
          <w:p>
            <w:pPr>
              <w:autoSpaceDE w:val="0"/>
              <w:autoSpaceDN w:val="0"/>
              <w:spacing w:line="276" w:lineRule="auto"/>
              <w:jc w:val="center"/>
              <w:rPr>
                <w:kern w:val="0"/>
                <w:sz w:val="24"/>
                <w:szCs w:val="22"/>
                <w:lang w:eastAsia="en-US"/>
              </w:rPr>
            </w:pPr>
            <w:r>
              <w:rPr>
                <w:kern w:val="0"/>
                <w:sz w:val="24"/>
                <w:szCs w:val="22"/>
                <w:lang w:eastAsia="en-US"/>
              </w:rPr>
              <w:t>比例</w:t>
            </w:r>
          </w:p>
        </w:tc>
        <w:tc>
          <w:tcPr>
            <w:tcW w:w="983" w:type="dxa"/>
            <w:vAlign w:val="center"/>
          </w:tcPr>
          <w:p>
            <w:pPr>
              <w:autoSpaceDE w:val="0"/>
              <w:autoSpaceDN w:val="0"/>
              <w:spacing w:line="276" w:lineRule="auto"/>
              <w:jc w:val="center"/>
              <w:rPr>
                <w:kern w:val="0"/>
                <w:sz w:val="24"/>
                <w:szCs w:val="22"/>
                <w:lang w:eastAsia="en-US"/>
              </w:rPr>
            </w:pPr>
            <w:r>
              <w:rPr>
                <w:rFonts w:hint="eastAsia"/>
                <w:kern w:val="0"/>
                <w:sz w:val="24"/>
                <w:szCs w:val="22"/>
              </w:rPr>
              <w:t>20</w:t>
            </w:r>
            <w:r>
              <w:rPr>
                <w:kern w:val="0"/>
                <w:sz w:val="24"/>
                <w:szCs w:val="22"/>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877" w:hRule="atLeast"/>
          <w:jc w:val="center"/>
        </w:trPr>
        <w:tc>
          <w:tcPr>
            <w:tcW w:w="1843" w:type="dxa"/>
            <w:vAlign w:val="center"/>
          </w:tcPr>
          <w:p>
            <w:pPr>
              <w:autoSpaceDE w:val="0"/>
              <w:autoSpaceDN w:val="0"/>
              <w:spacing w:line="276" w:lineRule="auto"/>
              <w:jc w:val="center"/>
              <w:rPr>
                <w:kern w:val="0"/>
                <w:sz w:val="24"/>
                <w:szCs w:val="22"/>
                <w:lang w:eastAsia="en-US"/>
              </w:rPr>
            </w:pPr>
            <w:r>
              <w:rPr>
                <w:kern w:val="0"/>
                <w:sz w:val="24"/>
                <w:szCs w:val="22"/>
                <w:lang w:eastAsia="en-US"/>
              </w:rPr>
              <w:t>验收监测依据</w:t>
            </w:r>
          </w:p>
        </w:tc>
        <w:tc>
          <w:tcPr>
            <w:tcW w:w="7559" w:type="dxa"/>
            <w:gridSpan w:val="7"/>
            <w:vAlign w:val="center"/>
          </w:tcPr>
          <w:p>
            <w:pPr>
              <w:autoSpaceDE w:val="0"/>
              <w:autoSpaceDN w:val="0"/>
              <w:adjustRightInd w:val="0"/>
              <w:snapToGrid w:val="0"/>
              <w:spacing w:line="440" w:lineRule="exact"/>
              <w:ind w:firstLine="480" w:firstLineChars="200"/>
              <w:rPr>
                <w:kern w:val="0"/>
                <w:sz w:val="24"/>
                <w:szCs w:val="22"/>
              </w:rPr>
            </w:pPr>
            <w:r>
              <w:rPr>
                <w:kern w:val="0"/>
                <w:sz w:val="24"/>
                <w:szCs w:val="22"/>
              </w:rPr>
              <w:t>1、中华人民共和国国务院令第253 号《建设项目环境保护管理条例》，1998年11月29日；</w:t>
            </w:r>
          </w:p>
          <w:p>
            <w:pPr>
              <w:autoSpaceDE w:val="0"/>
              <w:autoSpaceDN w:val="0"/>
              <w:adjustRightInd w:val="0"/>
              <w:snapToGrid w:val="0"/>
              <w:spacing w:line="440" w:lineRule="exact"/>
              <w:ind w:firstLine="480" w:firstLineChars="200"/>
              <w:rPr>
                <w:kern w:val="0"/>
                <w:sz w:val="24"/>
                <w:szCs w:val="22"/>
              </w:rPr>
            </w:pPr>
            <w:r>
              <w:rPr>
                <w:kern w:val="0"/>
                <w:sz w:val="24"/>
                <w:szCs w:val="22"/>
              </w:rPr>
              <w:t>2、原国家环保总局令第13号《建设项目竣工环境保护验收管理办法》，2001年12月27日；</w:t>
            </w:r>
          </w:p>
          <w:p>
            <w:pPr>
              <w:autoSpaceDE w:val="0"/>
              <w:autoSpaceDN w:val="0"/>
              <w:adjustRightInd w:val="0"/>
              <w:snapToGrid w:val="0"/>
              <w:spacing w:line="440" w:lineRule="exact"/>
              <w:ind w:firstLine="480" w:firstLineChars="200"/>
              <w:rPr>
                <w:kern w:val="0"/>
                <w:sz w:val="24"/>
                <w:szCs w:val="22"/>
              </w:rPr>
            </w:pPr>
            <w:r>
              <w:rPr>
                <w:kern w:val="0"/>
                <w:sz w:val="24"/>
                <w:szCs w:val="22"/>
              </w:rPr>
              <w:t>3、中华人民共和国主席令，第九号，《中华人民共和国环境保护法》（2015年1月1日）；</w:t>
            </w:r>
          </w:p>
          <w:p>
            <w:pPr>
              <w:adjustRightInd w:val="0"/>
              <w:snapToGrid w:val="0"/>
              <w:spacing w:line="440" w:lineRule="exact"/>
              <w:ind w:firstLine="480" w:firstLineChars="200"/>
              <w:rPr>
                <w:rFonts w:hint="eastAsia"/>
                <w:sz w:val="24"/>
                <w:szCs w:val="52"/>
                <w:lang w:eastAsia="zh-CN"/>
              </w:rPr>
            </w:pPr>
            <w:r>
              <w:rPr>
                <w:rFonts w:hint="eastAsia"/>
                <w:sz w:val="24"/>
                <w:szCs w:val="52"/>
                <w:lang w:val="en-US" w:eastAsia="zh-CN"/>
              </w:rPr>
              <w:t>4、</w:t>
            </w:r>
            <w:r>
              <w:rPr>
                <w:sz w:val="24"/>
                <w:szCs w:val="52"/>
              </w:rPr>
              <w:t>《</w:t>
            </w:r>
            <w:r>
              <w:rPr>
                <w:rFonts w:hint="eastAsia"/>
                <w:sz w:val="24"/>
                <w:szCs w:val="52"/>
                <w:lang w:val="en-US" w:eastAsia="zh-CN"/>
              </w:rPr>
              <w:t>深圳经济特区建设项目环境保护条例</w:t>
            </w:r>
            <w:r>
              <w:rPr>
                <w:sz w:val="24"/>
                <w:szCs w:val="52"/>
              </w:rPr>
              <w:t>》</w:t>
            </w:r>
            <w:r>
              <w:rPr>
                <w:rFonts w:hint="eastAsia"/>
                <w:sz w:val="24"/>
                <w:szCs w:val="52"/>
                <w:lang w:eastAsia="zh-CN"/>
              </w:rPr>
              <w:t>（</w:t>
            </w:r>
            <w:r>
              <w:rPr>
                <w:rFonts w:hint="eastAsia"/>
                <w:sz w:val="24"/>
                <w:szCs w:val="52"/>
                <w:lang w:val="en-US" w:eastAsia="zh-CN"/>
              </w:rPr>
              <w:t>2017年修订</w:t>
            </w:r>
            <w:r>
              <w:rPr>
                <w:rFonts w:hint="eastAsia"/>
                <w:sz w:val="24"/>
                <w:szCs w:val="52"/>
                <w:lang w:eastAsia="zh-CN"/>
              </w:rPr>
              <w:t>）（</w:t>
            </w:r>
            <w:r>
              <w:rPr>
                <w:rFonts w:hint="eastAsia"/>
                <w:sz w:val="24"/>
                <w:szCs w:val="52"/>
                <w:lang w:val="en-US" w:eastAsia="zh-CN"/>
              </w:rPr>
              <w:t>2017年5月16日</w:t>
            </w:r>
            <w:r>
              <w:rPr>
                <w:rFonts w:hint="eastAsia"/>
                <w:sz w:val="24"/>
                <w:szCs w:val="52"/>
                <w:lang w:eastAsia="zh-CN"/>
              </w:rPr>
              <w:t>）；</w:t>
            </w:r>
          </w:p>
          <w:p>
            <w:pPr>
              <w:autoSpaceDE w:val="0"/>
              <w:autoSpaceDN w:val="0"/>
              <w:adjustRightInd w:val="0"/>
              <w:snapToGrid w:val="0"/>
              <w:spacing w:line="440" w:lineRule="exact"/>
              <w:ind w:firstLine="480" w:firstLineChars="200"/>
              <w:rPr>
                <w:kern w:val="0"/>
                <w:sz w:val="24"/>
                <w:szCs w:val="22"/>
              </w:rPr>
            </w:pPr>
            <w:r>
              <w:rPr>
                <w:rFonts w:hint="eastAsia"/>
                <w:kern w:val="0"/>
                <w:sz w:val="24"/>
                <w:szCs w:val="22"/>
                <w:lang w:val="en-US" w:eastAsia="zh-CN"/>
              </w:rPr>
              <w:t>5</w:t>
            </w:r>
            <w:r>
              <w:rPr>
                <w:kern w:val="0"/>
                <w:sz w:val="24"/>
                <w:szCs w:val="22"/>
              </w:rPr>
              <w:t>、</w:t>
            </w:r>
            <w:r>
              <w:rPr>
                <w:rFonts w:hint="eastAsia"/>
                <w:kern w:val="0"/>
                <w:sz w:val="24"/>
                <w:szCs w:val="22"/>
              </w:rPr>
              <w:t>南京大学</w:t>
            </w:r>
            <w:r>
              <w:rPr>
                <w:kern w:val="0"/>
                <w:sz w:val="24"/>
                <w:szCs w:val="22"/>
              </w:rPr>
              <w:t>《</w:t>
            </w:r>
            <w:r>
              <w:rPr>
                <w:rFonts w:hint="eastAsia"/>
                <w:kern w:val="0"/>
                <w:sz w:val="24"/>
                <w:szCs w:val="22"/>
              </w:rPr>
              <w:t>金万龙珠宝首饰（深圳）有限公司更名项目</w:t>
            </w:r>
            <w:r>
              <w:rPr>
                <w:kern w:val="0"/>
                <w:sz w:val="24"/>
                <w:szCs w:val="22"/>
              </w:rPr>
              <w:t>环境影响报告表》（20</w:t>
            </w:r>
            <w:r>
              <w:rPr>
                <w:rFonts w:hint="eastAsia"/>
                <w:kern w:val="0"/>
                <w:sz w:val="24"/>
                <w:szCs w:val="22"/>
              </w:rPr>
              <w:t>12</w:t>
            </w:r>
            <w:r>
              <w:rPr>
                <w:kern w:val="0"/>
                <w:sz w:val="24"/>
                <w:szCs w:val="22"/>
              </w:rPr>
              <w:t>年</w:t>
            </w:r>
            <w:r>
              <w:rPr>
                <w:rFonts w:hint="eastAsia"/>
                <w:kern w:val="0"/>
                <w:sz w:val="24"/>
                <w:szCs w:val="22"/>
              </w:rPr>
              <w:t>9</w:t>
            </w:r>
            <w:r>
              <w:rPr>
                <w:kern w:val="0"/>
                <w:sz w:val="24"/>
                <w:szCs w:val="22"/>
              </w:rPr>
              <w:t>月）；</w:t>
            </w:r>
          </w:p>
          <w:p>
            <w:pPr>
              <w:autoSpaceDE w:val="0"/>
              <w:autoSpaceDN w:val="0"/>
              <w:adjustRightInd w:val="0"/>
              <w:snapToGrid w:val="0"/>
              <w:spacing w:line="440" w:lineRule="exact"/>
              <w:ind w:firstLine="480" w:firstLineChars="200"/>
              <w:rPr>
                <w:kern w:val="0"/>
                <w:sz w:val="24"/>
                <w:szCs w:val="22"/>
              </w:rPr>
            </w:pPr>
            <w:r>
              <w:rPr>
                <w:rFonts w:hint="eastAsia"/>
                <w:kern w:val="0"/>
                <w:sz w:val="24"/>
                <w:szCs w:val="22"/>
                <w:lang w:val="en-US" w:eastAsia="zh-CN"/>
              </w:rPr>
              <w:t>6</w:t>
            </w:r>
            <w:r>
              <w:rPr>
                <w:kern w:val="0"/>
                <w:sz w:val="24"/>
                <w:szCs w:val="22"/>
              </w:rPr>
              <w:t>、深圳市盐田区环境保护与水务局《深圳市</w:t>
            </w:r>
            <w:r>
              <w:rPr>
                <w:rFonts w:hint="eastAsia"/>
                <w:kern w:val="0"/>
                <w:sz w:val="24"/>
                <w:szCs w:val="22"/>
              </w:rPr>
              <w:t>盐田区环境保护和水务局</w:t>
            </w:r>
            <w:r>
              <w:rPr>
                <w:kern w:val="0"/>
                <w:sz w:val="24"/>
                <w:szCs w:val="22"/>
              </w:rPr>
              <w:t>建设项目环境影响审</w:t>
            </w:r>
            <w:r>
              <w:rPr>
                <w:rFonts w:hint="eastAsia"/>
                <w:kern w:val="0"/>
                <w:sz w:val="24"/>
                <w:szCs w:val="22"/>
              </w:rPr>
              <w:t>查批复</w:t>
            </w:r>
            <w:r>
              <w:rPr>
                <w:kern w:val="0"/>
                <w:sz w:val="24"/>
                <w:szCs w:val="22"/>
              </w:rPr>
              <w:t>》（深盐环批[201</w:t>
            </w:r>
            <w:r>
              <w:rPr>
                <w:rFonts w:hint="eastAsia"/>
                <w:kern w:val="0"/>
                <w:sz w:val="24"/>
                <w:szCs w:val="22"/>
              </w:rPr>
              <w:t>2</w:t>
            </w:r>
            <w:r>
              <w:rPr>
                <w:kern w:val="0"/>
                <w:sz w:val="24"/>
                <w:szCs w:val="22"/>
              </w:rPr>
              <w:t>]800</w:t>
            </w:r>
            <w:r>
              <w:rPr>
                <w:rFonts w:hint="eastAsia"/>
                <w:kern w:val="0"/>
                <w:sz w:val="24"/>
                <w:szCs w:val="22"/>
              </w:rPr>
              <w:t>138</w:t>
            </w:r>
            <w:r>
              <w:rPr>
                <w:kern w:val="0"/>
                <w:sz w:val="24"/>
                <w:szCs w:val="22"/>
              </w:rPr>
              <w:t>号）审批意见。</w:t>
            </w:r>
          </w:p>
        </w:tc>
      </w:tr>
    </w:tbl>
    <w:p>
      <w:pPr>
        <w:autoSpaceDE w:val="0"/>
        <w:autoSpaceDN w:val="0"/>
        <w:spacing w:line="316" w:lineRule="auto"/>
        <w:jc w:val="left"/>
        <w:rPr>
          <w:kern w:val="0"/>
          <w:sz w:val="24"/>
          <w:szCs w:val="22"/>
        </w:rPr>
        <w:sectPr>
          <w:footerReference r:id="rId4" w:type="default"/>
          <w:pgSz w:w="11907" w:h="16839"/>
          <w:pgMar w:top="1440" w:right="1080" w:bottom="1440" w:left="1080" w:header="0" w:footer="935" w:gutter="0"/>
          <w:pgNumType w:start="1"/>
          <w:cols w:space="720" w:num="1"/>
          <w:docGrid w:linePitch="299" w:charSpace="0"/>
        </w:sectPr>
      </w:pPr>
    </w:p>
    <w:p>
      <w:pPr>
        <w:autoSpaceDE w:val="0"/>
        <w:autoSpaceDN w:val="0"/>
        <w:spacing w:line="360" w:lineRule="auto"/>
        <w:jc w:val="left"/>
        <w:rPr>
          <w:b/>
          <w:kern w:val="0"/>
          <w:sz w:val="28"/>
          <w:szCs w:val="22"/>
          <w:lang w:eastAsia="en-US"/>
        </w:rPr>
      </w:pPr>
      <w:r>
        <w:rPr>
          <w:b/>
          <w:kern w:val="0"/>
          <w:sz w:val="28"/>
          <w:szCs w:val="22"/>
          <w:lang w:eastAsia="en-US"/>
        </w:rPr>
        <w:t>续表一</w:t>
      </w:r>
    </w:p>
    <w:tbl>
      <w:tblPr>
        <w:tblStyle w:val="27"/>
        <w:tblpPr w:leftFromText="180" w:rightFromText="180" w:vertAnchor="text" w:tblpXSpec="center" w:tblpY="1"/>
        <w:tblOverlap w:val="never"/>
        <w:tblW w:w="95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43"/>
        <w:gridCol w:w="55"/>
        <w:gridCol w:w="7579"/>
        <w:gridCol w:w="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66" w:type="dxa"/>
          <w:trHeight w:val="2715" w:hRule="atLeast"/>
        </w:trPr>
        <w:tc>
          <w:tcPr>
            <w:tcW w:w="1843" w:type="dxa"/>
            <w:tcBorders>
              <w:top w:val="single" w:color="auto" w:sz="8" w:space="0"/>
              <w:left w:val="single" w:color="auto" w:sz="8" w:space="0"/>
              <w:bottom w:val="single" w:color="auto" w:sz="4" w:space="0"/>
              <w:right w:val="single" w:color="auto" w:sz="8" w:space="0"/>
            </w:tcBorders>
            <w:vAlign w:val="center"/>
          </w:tcPr>
          <w:p>
            <w:pPr>
              <w:autoSpaceDE w:val="0"/>
              <w:autoSpaceDN w:val="0"/>
              <w:adjustRightInd w:val="0"/>
              <w:snapToGrid w:val="0"/>
              <w:spacing w:line="360" w:lineRule="auto"/>
              <w:ind w:left="360" w:hanging="360" w:hangingChars="150"/>
              <w:jc w:val="center"/>
              <w:rPr>
                <w:bCs/>
                <w:kern w:val="0"/>
                <w:sz w:val="24"/>
                <w:szCs w:val="22"/>
              </w:rPr>
            </w:pPr>
            <w:r>
              <w:rPr>
                <w:bCs/>
                <w:kern w:val="0"/>
                <w:sz w:val="24"/>
                <w:szCs w:val="22"/>
              </w:rPr>
              <w:t>验收监测标准</w:t>
            </w:r>
          </w:p>
          <w:p>
            <w:pPr>
              <w:autoSpaceDE w:val="0"/>
              <w:autoSpaceDN w:val="0"/>
              <w:adjustRightInd w:val="0"/>
              <w:snapToGrid w:val="0"/>
              <w:spacing w:line="360" w:lineRule="auto"/>
              <w:ind w:left="360" w:hanging="360" w:hangingChars="150"/>
              <w:jc w:val="center"/>
              <w:rPr>
                <w:b/>
                <w:kern w:val="0"/>
                <w:sz w:val="24"/>
                <w:szCs w:val="22"/>
              </w:rPr>
            </w:pPr>
            <w:r>
              <w:rPr>
                <w:bCs/>
                <w:kern w:val="0"/>
                <w:sz w:val="24"/>
                <w:szCs w:val="22"/>
              </w:rPr>
              <w:t>标号、级别</w:t>
            </w:r>
          </w:p>
        </w:tc>
        <w:tc>
          <w:tcPr>
            <w:tcW w:w="7634" w:type="dxa"/>
            <w:gridSpan w:val="2"/>
            <w:tcBorders>
              <w:top w:val="single" w:color="auto" w:sz="8" w:space="0"/>
              <w:left w:val="single" w:color="auto" w:sz="8" w:space="0"/>
              <w:bottom w:val="single" w:color="auto" w:sz="4" w:space="0"/>
              <w:right w:val="single" w:color="auto" w:sz="8" w:space="0"/>
            </w:tcBorders>
          </w:tcPr>
          <w:p>
            <w:pPr>
              <w:autoSpaceDE w:val="0"/>
              <w:autoSpaceDN w:val="0"/>
              <w:adjustRightInd w:val="0"/>
              <w:snapToGrid w:val="0"/>
              <w:spacing w:line="360" w:lineRule="auto"/>
              <w:ind w:firstLine="480" w:firstLineChars="200"/>
              <w:jc w:val="left"/>
              <w:rPr>
                <w:kern w:val="0"/>
                <w:sz w:val="24"/>
                <w:szCs w:val="22"/>
              </w:rPr>
            </w:pPr>
            <w:r>
              <w:rPr>
                <w:rFonts w:hint="eastAsia"/>
                <w:kern w:val="0"/>
                <w:sz w:val="24"/>
                <w:szCs w:val="22"/>
              </w:rPr>
              <w:t>1、</w:t>
            </w:r>
            <w:r>
              <w:rPr>
                <w:kern w:val="0"/>
                <w:sz w:val="24"/>
                <w:szCs w:val="22"/>
              </w:rPr>
              <w:t>水污染物排放总量监测技术规范（HJ/T 92-2002）</w:t>
            </w:r>
          </w:p>
          <w:p>
            <w:pPr>
              <w:autoSpaceDE w:val="0"/>
              <w:autoSpaceDN w:val="0"/>
              <w:adjustRightInd w:val="0"/>
              <w:snapToGrid w:val="0"/>
              <w:spacing w:line="360" w:lineRule="auto"/>
              <w:ind w:firstLine="480" w:firstLineChars="200"/>
              <w:jc w:val="left"/>
              <w:rPr>
                <w:kern w:val="0"/>
                <w:sz w:val="24"/>
                <w:szCs w:val="22"/>
              </w:rPr>
            </w:pPr>
            <w:r>
              <w:rPr>
                <w:rFonts w:hint="eastAsia"/>
                <w:kern w:val="0"/>
                <w:sz w:val="24"/>
                <w:szCs w:val="22"/>
              </w:rPr>
              <w:t>2、</w:t>
            </w:r>
            <w:r>
              <w:rPr>
                <w:kern w:val="0"/>
                <w:sz w:val="24"/>
                <w:szCs w:val="22"/>
              </w:rPr>
              <w:t>地表水和污水监测技术规范（HJ/T 91-2002）</w:t>
            </w:r>
          </w:p>
          <w:p>
            <w:pPr>
              <w:autoSpaceDE w:val="0"/>
              <w:autoSpaceDN w:val="0"/>
              <w:adjustRightInd w:val="0"/>
              <w:snapToGrid w:val="0"/>
              <w:spacing w:line="360" w:lineRule="auto"/>
              <w:ind w:firstLine="480" w:firstLineChars="200"/>
              <w:jc w:val="left"/>
              <w:rPr>
                <w:kern w:val="0"/>
                <w:sz w:val="24"/>
                <w:szCs w:val="22"/>
              </w:rPr>
            </w:pPr>
            <w:r>
              <w:rPr>
                <w:rFonts w:hint="eastAsia"/>
                <w:kern w:val="0"/>
                <w:sz w:val="24"/>
                <w:szCs w:val="22"/>
              </w:rPr>
              <w:t>3、</w:t>
            </w:r>
            <w:r>
              <w:rPr>
                <w:kern w:val="0"/>
                <w:sz w:val="24"/>
                <w:szCs w:val="22"/>
              </w:rPr>
              <w:t>水质样品的保存和管理技术规定（HJ 493-2009）</w:t>
            </w:r>
          </w:p>
          <w:p>
            <w:pPr>
              <w:autoSpaceDE w:val="0"/>
              <w:autoSpaceDN w:val="0"/>
              <w:adjustRightInd w:val="0"/>
              <w:snapToGrid w:val="0"/>
              <w:spacing w:line="360" w:lineRule="auto"/>
              <w:ind w:left="479" w:leftChars="228"/>
              <w:jc w:val="left"/>
              <w:rPr>
                <w:kern w:val="0"/>
                <w:sz w:val="24"/>
                <w:szCs w:val="22"/>
              </w:rPr>
            </w:pPr>
            <w:r>
              <w:rPr>
                <w:rFonts w:hint="eastAsia"/>
                <w:kern w:val="0"/>
                <w:sz w:val="24"/>
                <w:szCs w:val="22"/>
              </w:rPr>
              <w:t>4、</w:t>
            </w:r>
            <w:r>
              <w:rPr>
                <w:kern w:val="0"/>
                <w:sz w:val="24"/>
                <w:szCs w:val="22"/>
              </w:rPr>
              <w:t>固定污染源排气中颗粒物测定与气态污染物采样方法（GB16157-1996）</w:t>
            </w:r>
          </w:p>
          <w:p>
            <w:pPr>
              <w:autoSpaceDE w:val="0"/>
              <w:autoSpaceDN w:val="0"/>
              <w:adjustRightInd w:val="0"/>
              <w:snapToGrid w:val="0"/>
              <w:spacing w:line="360" w:lineRule="auto"/>
              <w:ind w:firstLine="480" w:firstLineChars="200"/>
              <w:jc w:val="left"/>
              <w:rPr>
                <w:bCs/>
                <w:color w:val="000000"/>
                <w:kern w:val="0"/>
                <w:sz w:val="24"/>
                <w:szCs w:val="22"/>
              </w:rPr>
            </w:pPr>
            <w:r>
              <w:rPr>
                <w:rFonts w:hint="eastAsia"/>
                <w:kern w:val="0"/>
                <w:sz w:val="24"/>
                <w:szCs w:val="22"/>
              </w:rPr>
              <w:t>5、</w:t>
            </w:r>
            <w:r>
              <w:rPr>
                <w:kern w:val="0"/>
                <w:sz w:val="24"/>
                <w:szCs w:val="22"/>
              </w:rPr>
              <w:t>工业企业厂界环境噪声排放标准（GB 12348-2008）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66" w:type="dxa"/>
          <w:trHeight w:val="10655" w:hRule="atLeast"/>
        </w:trPr>
        <w:tc>
          <w:tcPr>
            <w:tcW w:w="1843" w:type="dxa"/>
            <w:tcBorders>
              <w:top w:val="single" w:color="auto" w:sz="4" w:space="0"/>
              <w:left w:val="single" w:color="auto" w:sz="8" w:space="0"/>
              <w:bottom w:val="single" w:color="auto" w:sz="8" w:space="0"/>
              <w:right w:val="single" w:color="auto" w:sz="8" w:space="0"/>
            </w:tcBorders>
            <w:vAlign w:val="center"/>
          </w:tcPr>
          <w:p>
            <w:pPr>
              <w:autoSpaceDE w:val="0"/>
              <w:autoSpaceDN w:val="0"/>
              <w:adjustRightInd w:val="0"/>
              <w:snapToGrid w:val="0"/>
              <w:spacing w:line="360" w:lineRule="auto"/>
              <w:ind w:left="360" w:hanging="360" w:hangingChars="150"/>
              <w:jc w:val="center"/>
              <w:rPr>
                <w:bCs/>
                <w:kern w:val="0"/>
                <w:sz w:val="24"/>
                <w:szCs w:val="22"/>
              </w:rPr>
            </w:pPr>
            <w:r>
              <w:rPr>
                <w:bCs/>
                <w:kern w:val="0"/>
                <w:sz w:val="24"/>
                <w:szCs w:val="22"/>
              </w:rPr>
              <w:t>验收制定标准</w:t>
            </w:r>
          </w:p>
          <w:p>
            <w:pPr>
              <w:autoSpaceDE w:val="0"/>
              <w:autoSpaceDN w:val="0"/>
              <w:adjustRightInd w:val="0"/>
              <w:snapToGrid w:val="0"/>
              <w:spacing w:line="360" w:lineRule="auto"/>
              <w:ind w:left="360" w:hanging="360" w:hangingChars="150"/>
              <w:jc w:val="center"/>
              <w:rPr>
                <w:bCs/>
                <w:kern w:val="0"/>
                <w:sz w:val="24"/>
                <w:szCs w:val="22"/>
              </w:rPr>
            </w:pPr>
            <w:r>
              <w:rPr>
                <w:bCs/>
                <w:kern w:val="0"/>
                <w:sz w:val="24"/>
                <w:szCs w:val="22"/>
              </w:rPr>
              <w:t>标号、级别</w:t>
            </w:r>
          </w:p>
        </w:tc>
        <w:tc>
          <w:tcPr>
            <w:tcW w:w="7634" w:type="dxa"/>
            <w:gridSpan w:val="2"/>
            <w:tcBorders>
              <w:top w:val="single" w:color="auto" w:sz="4" w:space="0"/>
              <w:left w:val="single" w:color="auto" w:sz="8" w:space="0"/>
              <w:bottom w:val="single" w:color="auto" w:sz="8" w:space="0"/>
              <w:right w:val="single" w:color="auto" w:sz="8" w:space="0"/>
            </w:tcBorders>
          </w:tcPr>
          <w:p>
            <w:pPr>
              <w:spacing w:line="360" w:lineRule="auto"/>
              <w:ind w:firstLine="360" w:firstLineChars="150"/>
              <w:rPr>
                <w:rFonts w:ascii="宋体" w:hAnsi="宋体"/>
                <w:sz w:val="24"/>
              </w:rPr>
            </w:pPr>
            <w:r>
              <w:rPr>
                <w:kern w:val="0"/>
                <w:sz w:val="24"/>
                <w:szCs w:val="22"/>
              </w:rPr>
              <w:t>1、水污染物：项目产生的废水主要为生活污水和生产废水。生活污水经过</w:t>
            </w:r>
            <w:r>
              <w:rPr>
                <w:rFonts w:hint="eastAsia"/>
                <w:sz w:val="24"/>
              </w:rPr>
              <w:t>工业区</w:t>
            </w:r>
            <w:r>
              <w:rPr>
                <w:kern w:val="0"/>
                <w:sz w:val="24"/>
                <w:szCs w:val="22"/>
              </w:rPr>
              <w:t>化粪池预处理后，再经污水管网送入盐田污水处理厂处理。</w:t>
            </w:r>
            <w:r>
              <w:rPr>
                <w:rFonts w:hint="eastAsia"/>
                <w:kern w:val="0"/>
                <w:sz w:val="24"/>
                <w:szCs w:val="22"/>
              </w:rPr>
              <w:t>项目生产废水集中</w:t>
            </w:r>
            <w:r>
              <w:rPr>
                <w:kern w:val="0"/>
                <w:sz w:val="24"/>
                <w:szCs w:val="22"/>
              </w:rPr>
              <w:t>收集</w:t>
            </w:r>
            <w:r>
              <w:rPr>
                <w:rFonts w:hint="eastAsia"/>
                <w:kern w:val="0"/>
                <w:sz w:val="24"/>
                <w:szCs w:val="22"/>
              </w:rPr>
              <w:t>后，</w:t>
            </w:r>
            <w:r>
              <w:rPr>
                <w:kern w:val="0"/>
                <w:sz w:val="24"/>
                <w:szCs w:val="22"/>
              </w:rPr>
              <w:t>定期委托</w:t>
            </w:r>
            <w:r>
              <w:rPr>
                <w:rFonts w:hint="eastAsia"/>
                <w:sz w:val="24"/>
              </w:rPr>
              <w:t>有危险废物处理资质的单位统一处理，</w:t>
            </w:r>
            <w:r>
              <w:rPr>
                <w:kern w:val="0"/>
                <w:sz w:val="24"/>
                <w:szCs w:val="22"/>
              </w:rPr>
              <w:t>生活污水排放执行广东省地方标准《水污染物排放限值》（DB44/26-2001）第二时段三级标准。标准值如下表：</w:t>
            </w:r>
          </w:p>
          <w:p>
            <w:pPr>
              <w:autoSpaceDE w:val="0"/>
              <w:autoSpaceDN w:val="0"/>
              <w:adjustRightInd w:val="0"/>
              <w:snapToGrid w:val="0"/>
              <w:spacing w:line="360" w:lineRule="auto"/>
              <w:jc w:val="right"/>
              <w:rPr>
                <w:kern w:val="0"/>
                <w:sz w:val="22"/>
                <w:szCs w:val="22"/>
              </w:rPr>
            </w:pPr>
            <w:r>
              <w:rPr>
                <w:kern w:val="0"/>
                <w:sz w:val="22"/>
                <w:szCs w:val="22"/>
              </w:rPr>
              <w:t>单位：mg/L（pH值除外）</w:t>
            </w:r>
          </w:p>
          <w:tbl>
            <w:tblPr>
              <w:tblStyle w:val="27"/>
              <w:tblW w:w="7418"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 w:type="dxa"/>
                <w:bottom w:w="0" w:type="dxa"/>
                <w:right w:w="10" w:type="dxa"/>
              </w:tblCellMar>
            </w:tblPr>
            <w:tblGrid>
              <w:gridCol w:w="1200"/>
              <w:gridCol w:w="1181"/>
              <w:gridCol w:w="1034"/>
              <w:gridCol w:w="1181"/>
              <w:gridCol w:w="886"/>
              <w:gridCol w:w="1034"/>
              <w:gridCol w:w="90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 w:type="dxa"/>
                  <w:bottom w:w="0" w:type="dxa"/>
                  <w:right w:w="10" w:type="dxa"/>
                </w:tblCellMar>
              </w:tblPrEx>
              <w:trPr>
                <w:trHeight w:val="340" w:hRule="atLeast"/>
                <w:tblHeader/>
                <w:jc w:val="center"/>
              </w:trPr>
              <w:tc>
                <w:tcPr>
                  <w:tcW w:w="1200" w:type="dxa"/>
                  <w:tcMar>
                    <w:left w:w="0" w:type="dxa"/>
                    <w:right w:w="0" w:type="dxa"/>
                  </w:tcMar>
                  <w:vAlign w:val="center"/>
                </w:tcPr>
                <w:p>
                  <w:pPr>
                    <w:adjustRightInd w:val="0"/>
                    <w:spacing w:line="276" w:lineRule="auto"/>
                    <w:jc w:val="center"/>
                    <w:rPr>
                      <w:szCs w:val="21"/>
                    </w:rPr>
                  </w:pPr>
                  <w:r>
                    <w:rPr>
                      <w:szCs w:val="21"/>
                    </w:rPr>
                    <w:t>污染因子</w:t>
                  </w:r>
                </w:p>
              </w:tc>
              <w:tc>
                <w:tcPr>
                  <w:tcW w:w="1181" w:type="dxa"/>
                  <w:vAlign w:val="center"/>
                </w:tcPr>
                <w:p>
                  <w:pPr>
                    <w:spacing w:line="276" w:lineRule="auto"/>
                    <w:jc w:val="center"/>
                    <w:rPr>
                      <w:szCs w:val="21"/>
                    </w:rPr>
                  </w:pPr>
                  <w:r>
                    <w:rPr>
                      <w:szCs w:val="21"/>
                    </w:rPr>
                    <w:t>pH值</w:t>
                  </w:r>
                </w:p>
              </w:tc>
              <w:tc>
                <w:tcPr>
                  <w:tcW w:w="1034" w:type="dxa"/>
                  <w:vAlign w:val="center"/>
                </w:tcPr>
                <w:p>
                  <w:pPr>
                    <w:spacing w:line="276" w:lineRule="auto"/>
                    <w:jc w:val="center"/>
                    <w:rPr>
                      <w:szCs w:val="21"/>
                    </w:rPr>
                  </w:pPr>
                  <w:r>
                    <w:rPr>
                      <w:szCs w:val="21"/>
                    </w:rPr>
                    <w:t>悬浮物</w:t>
                  </w:r>
                </w:p>
              </w:tc>
              <w:tc>
                <w:tcPr>
                  <w:tcW w:w="1181" w:type="dxa"/>
                  <w:vAlign w:val="center"/>
                </w:tcPr>
                <w:p>
                  <w:pPr>
                    <w:jc w:val="center"/>
                    <w:rPr>
                      <w:szCs w:val="21"/>
                    </w:rPr>
                  </w:pPr>
                  <w:r>
                    <w:rPr>
                      <w:szCs w:val="21"/>
                    </w:rPr>
                    <w:t>化学需氧量</w:t>
                  </w:r>
                </w:p>
              </w:tc>
              <w:tc>
                <w:tcPr>
                  <w:tcW w:w="886" w:type="dxa"/>
                  <w:vAlign w:val="center"/>
                </w:tcPr>
                <w:p>
                  <w:pPr>
                    <w:jc w:val="center"/>
                    <w:rPr>
                      <w:szCs w:val="21"/>
                    </w:rPr>
                  </w:pPr>
                  <w:r>
                    <w:rPr>
                      <w:rFonts w:hint="eastAsia"/>
                      <w:szCs w:val="21"/>
                    </w:rPr>
                    <w:t>五日生化需氧量</w:t>
                  </w:r>
                </w:p>
              </w:tc>
              <w:tc>
                <w:tcPr>
                  <w:tcW w:w="1034" w:type="dxa"/>
                  <w:vAlign w:val="center"/>
                </w:tcPr>
                <w:p>
                  <w:pPr>
                    <w:jc w:val="center"/>
                    <w:rPr>
                      <w:szCs w:val="21"/>
                    </w:rPr>
                  </w:pPr>
                  <w:r>
                    <w:rPr>
                      <w:szCs w:val="21"/>
                    </w:rPr>
                    <w:t>氨氮</w:t>
                  </w:r>
                </w:p>
              </w:tc>
              <w:tc>
                <w:tcPr>
                  <w:tcW w:w="902" w:type="dxa"/>
                  <w:vAlign w:val="center"/>
                </w:tcPr>
                <w:p>
                  <w:pPr>
                    <w:jc w:val="center"/>
                    <w:rPr>
                      <w:szCs w:val="21"/>
                    </w:rPr>
                  </w:pPr>
                  <w:r>
                    <w:rPr>
                      <w:rFonts w:hint="eastAsia"/>
                      <w:szCs w:val="21"/>
                    </w:rPr>
                    <w:t>LAS</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 w:type="dxa"/>
                  <w:bottom w:w="0" w:type="dxa"/>
                  <w:right w:w="10" w:type="dxa"/>
                </w:tblCellMar>
              </w:tblPrEx>
              <w:trPr>
                <w:trHeight w:val="340" w:hRule="atLeast"/>
                <w:tblHeader/>
                <w:jc w:val="center"/>
              </w:trPr>
              <w:tc>
                <w:tcPr>
                  <w:tcW w:w="1200" w:type="dxa"/>
                  <w:tcMar>
                    <w:left w:w="0" w:type="dxa"/>
                    <w:right w:w="0" w:type="dxa"/>
                  </w:tcMar>
                  <w:vAlign w:val="center"/>
                </w:tcPr>
                <w:p>
                  <w:pPr>
                    <w:jc w:val="center"/>
                    <w:rPr>
                      <w:szCs w:val="21"/>
                    </w:rPr>
                  </w:pPr>
                  <w:r>
                    <w:rPr>
                      <w:szCs w:val="21"/>
                    </w:rPr>
                    <w:t>废水</w:t>
                  </w:r>
                </w:p>
              </w:tc>
              <w:tc>
                <w:tcPr>
                  <w:tcW w:w="1181" w:type="dxa"/>
                  <w:vAlign w:val="center"/>
                </w:tcPr>
                <w:p>
                  <w:pPr>
                    <w:spacing w:line="276" w:lineRule="auto"/>
                    <w:jc w:val="center"/>
                    <w:rPr>
                      <w:szCs w:val="21"/>
                    </w:rPr>
                  </w:pPr>
                  <w:r>
                    <w:rPr>
                      <w:rFonts w:hint="eastAsia"/>
                      <w:szCs w:val="21"/>
                    </w:rPr>
                    <w:t>6~</w:t>
                  </w:r>
                  <w:r>
                    <w:rPr>
                      <w:szCs w:val="21"/>
                    </w:rPr>
                    <w:t>9</w:t>
                  </w:r>
                </w:p>
              </w:tc>
              <w:tc>
                <w:tcPr>
                  <w:tcW w:w="1034" w:type="dxa"/>
                  <w:vAlign w:val="center"/>
                </w:tcPr>
                <w:p>
                  <w:pPr>
                    <w:spacing w:line="276" w:lineRule="auto"/>
                    <w:jc w:val="center"/>
                    <w:rPr>
                      <w:szCs w:val="21"/>
                    </w:rPr>
                  </w:pPr>
                  <w:r>
                    <w:rPr>
                      <w:rFonts w:hint="eastAsia"/>
                      <w:szCs w:val="21"/>
                    </w:rPr>
                    <w:t>400</w:t>
                  </w:r>
                </w:p>
              </w:tc>
              <w:tc>
                <w:tcPr>
                  <w:tcW w:w="1181" w:type="dxa"/>
                  <w:vAlign w:val="center"/>
                </w:tcPr>
                <w:p>
                  <w:pPr>
                    <w:spacing w:line="276" w:lineRule="auto"/>
                    <w:jc w:val="center"/>
                    <w:rPr>
                      <w:szCs w:val="21"/>
                    </w:rPr>
                  </w:pPr>
                  <w:r>
                    <w:rPr>
                      <w:rFonts w:hint="eastAsia"/>
                      <w:szCs w:val="21"/>
                    </w:rPr>
                    <w:t>500</w:t>
                  </w:r>
                </w:p>
              </w:tc>
              <w:tc>
                <w:tcPr>
                  <w:tcW w:w="886" w:type="dxa"/>
                  <w:vAlign w:val="center"/>
                </w:tcPr>
                <w:p>
                  <w:pPr>
                    <w:spacing w:line="276" w:lineRule="auto"/>
                    <w:jc w:val="center"/>
                    <w:rPr>
                      <w:szCs w:val="21"/>
                    </w:rPr>
                  </w:pPr>
                  <w:r>
                    <w:rPr>
                      <w:szCs w:val="21"/>
                    </w:rPr>
                    <w:t>300</w:t>
                  </w:r>
                </w:p>
              </w:tc>
              <w:tc>
                <w:tcPr>
                  <w:tcW w:w="1034" w:type="dxa"/>
                  <w:vAlign w:val="center"/>
                </w:tcPr>
                <w:p>
                  <w:pPr>
                    <w:spacing w:line="276" w:lineRule="auto"/>
                    <w:jc w:val="center"/>
                    <w:rPr>
                      <w:szCs w:val="21"/>
                    </w:rPr>
                  </w:pPr>
                  <w:r>
                    <w:rPr>
                      <w:rFonts w:hint="eastAsia"/>
                      <w:szCs w:val="21"/>
                    </w:rPr>
                    <w:t>--</w:t>
                  </w:r>
                </w:p>
              </w:tc>
              <w:tc>
                <w:tcPr>
                  <w:tcW w:w="902" w:type="dxa"/>
                  <w:vAlign w:val="center"/>
                </w:tcPr>
                <w:p>
                  <w:pPr>
                    <w:jc w:val="center"/>
                    <w:rPr>
                      <w:szCs w:val="21"/>
                    </w:rPr>
                  </w:pPr>
                  <w:r>
                    <w:rPr>
                      <w:rFonts w:hint="eastAsia"/>
                      <w:szCs w:val="21"/>
                    </w:rPr>
                    <w:t>20</w:t>
                  </w:r>
                </w:p>
              </w:tc>
            </w:tr>
          </w:tbl>
          <w:p>
            <w:pPr>
              <w:autoSpaceDE w:val="0"/>
              <w:autoSpaceDN w:val="0"/>
              <w:adjustRightInd w:val="0"/>
              <w:spacing w:line="360" w:lineRule="auto"/>
              <w:jc w:val="left"/>
              <w:rPr>
                <w:kern w:val="0"/>
                <w:sz w:val="24"/>
                <w:szCs w:val="22"/>
              </w:rPr>
            </w:pPr>
          </w:p>
          <w:p>
            <w:pPr>
              <w:pStyle w:val="59"/>
              <w:spacing w:line="360" w:lineRule="auto"/>
              <w:ind w:firstLine="360" w:firstLineChars="150"/>
              <w:rPr>
                <w:bCs/>
                <w:kern w:val="0"/>
                <w:szCs w:val="22"/>
              </w:rPr>
            </w:pPr>
            <w:r>
              <w:rPr>
                <w:kern w:val="0"/>
                <w:szCs w:val="22"/>
              </w:rPr>
              <w:t>2、</w:t>
            </w:r>
            <w:r>
              <w:rPr>
                <w:bCs/>
                <w:kern w:val="0"/>
                <w:szCs w:val="22"/>
              </w:rPr>
              <w:t>大气污染物：</w:t>
            </w:r>
            <w:r>
              <w:rPr>
                <w:rFonts w:hint="eastAsia"/>
              </w:rPr>
              <w:t>项目炸酸工序过程会有少量酸雾挥发，主要含硫酸雾、氯化氢；熔金工序过程会有少量颗粒物产生。炸酸废气和熔金废气经收集后引入废气处理塔处理达标后高空排放。</w:t>
            </w:r>
            <w:r>
              <w:rPr>
                <w:bCs/>
                <w:kern w:val="0"/>
                <w:szCs w:val="22"/>
              </w:rPr>
              <w:t>废气排放执行广东省地方标准《大气污染物排放限值》（DB44/27-2001）第二时段二级排放限值。</w:t>
            </w:r>
            <w:r>
              <w:rPr>
                <w:kern w:val="0"/>
                <w:szCs w:val="22"/>
              </w:rPr>
              <w:t>标准值如下表：</w:t>
            </w:r>
          </w:p>
          <w:tbl>
            <w:tblPr>
              <w:tblStyle w:val="27"/>
              <w:tblW w:w="7088"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246"/>
              <w:gridCol w:w="4842"/>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2246" w:type="dxa"/>
                  <w:tcMar>
                    <w:left w:w="0" w:type="dxa"/>
                    <w:right w:w="0" w:type="dxa"/>
                  </w:tcMar>
                  <w:vAlign w:val="center"/>
                </w:tcPr>
                <w:p>
                  <w:pPr>
                    <w:autoSpaceDE w:val="0"/>
                    <w:autoSpaceDN w:val="0"/>
                    <w:adjustRightInd w:val="0"/>
                    <w:jc w:val="center"/>
                    <w:rPr>
                      <w:kern w:val="0"/>
                      <w:sz w:val="22"/>
                      <w:szCs w:val="21"/>
                    </w:rPr>
                  </w:pPr>
                  <w:r>
                    <w:rPr>
                      <w:kern w:val="0"/>
                      <w:sz w:val="22"/>
                      <w:szCs w:val="21"/>
                    </w:rPr>
                    <w:t>污染物名称</w:t>
                  </w:r>
                </w:p>
              </w:tc>
              <w:tc>
                <w:tcPr>
                  <w:tcW w:w="4842" w:type="dxa"/>
                  <w:vAlign w:val="center"/>
                </w:tcPr>
                <w:p>
                  <w:pPr>
                    <w:autoSpaceDE w:val="0"/>
                    <w:autoSpaceDN w:val="0"/>
                    <w:adjustRightInd w:val="0"/>
                    <w:jc w:val="center"/>
                    <w:rPr>
                      <w:kern w:val="0"/>
                      <w:sz w:val="22"/>
                      <w:szCs w:val="21"/>
                    </w:rPr>
                  </w:pPr>
                  <w:r>
                    <w:rPr>
                      <w:bCs/>
                      <w:kern w:val="0"/>
                      <w:sz w:val="22"/>
                      <w:szCs w:val="21"/>
                    </w:rPr>
                    <w:t>DB44/27-2001</w:t>
                  </w:r>
                  <w:r>
                    <w:rPr>
                      <w:kern w:val="0"/>
                      <w:sz w:val="22"/>
                      <w:szCs w:val="21"/>
                    </w:rPr>
                    <w:t>第二时段二级排放限值（mg/m</w:t>
                  </w:r>
                  <w:r>
                    <w:rPr>
                      <w:kern w:val="0"/>
                      <w:sz w:val="22"/>
                      <w:szCs w:val="21"/>
                      <w:vertAlign w:val="superscript"/>
                    </w:rPr>
                    <w:t>3</w:t>
                  </w:r>
                  <w:r>
                    <w:rPr>
                      <w:kern w:val="0"/>
                      <w:sz w:val="22"/>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2246" w:type="dxa"/>
                  <w:tcMar>
                    <w:left w:w="0" w:type="dxa"/>
                    <w:right w:w="0" w:type="dxa"/>
                  </w:tcMar>
                </w:tcPr>
                <w:p>
                  <w:pPr>
                    <w:autoSpaceDE w:val="0"/>
                    <w:autoSpaceDN w:val="0"/>
                    <w:jc w:val="center"/>
                    <w:rPr>
                      <w:kern w:val="0"/>
                      <w:sz w:val="22"/>
                      <w:szCs w:val="21"/>
                    </w:rPr>
                  </w:pPr>
                  <w:r>
                    <w:rPr>
                      <w:kern w:val="0"/>
                      <w:sz w:val="22"/>
                      <w:szCs w:val="21"/>
                    </w:rPr>
                    <w:t>硫酸雾</w:t>
                  </w:r>
                </w:p>
              </w:tc>
              <w:tc>
                <w:tcPr>
                  <w:tcW w:w="4842" w:type="dxa"/>
                </w:tcPr>
                <w:p>
                  <w:pPr>
                    <w:autoSpaceDE w:val="0"/>
                    <w:autoSpaceDN w:val="0"/>
                    <w:jc w:val="center"/>
                    <w:rPr>
                      <w:kern w:val="0"/>
                      <w:sz w:val="22"/>
                      <w:szCs w:val="21"/>
                    </w:rPr>
                  </w:pPr>
                  <w:r>
                    <w:rPr>
                      <w:rFonts w:hint="eastAsia"/>
                      <w:kern w:val="0"/>
                      <w:sz w:val="22"/>
                      <w:szCs w:val="21"/>
                    </w:rPr>
                    <w:t>35</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2246" w:type="dxa"/>
                  <w:tcMar>
                    <w:left w:w="0" w:type="dxa"/>
                    <w:right w:w="0" w:type="dxa"/>
                  </w:tcMar>
                </w:tcPr>
                <w:p>
                  <w:pPr>
                    <w:autoSpaceDE w:val="0"/>
                    <w:autoSpaceDN w:val="0"/>
                    <w:jc w:val="center"/>
                    <w:rPr>
                      <w:kern w:val="0"/>
                      <w:sz w:val="22"/>
                      <w:szCs w:val="21"/>
                    </w:rPr>
                  </w:pPr>
                  <w:r>
                    <w:rPr>
                      <w:kern w:val="0"/>
                      <w:sz w:val="22"/>
                      <w:szCs w:val="21"/>
                    </w:rPr>
                    <w:t>颗粒物</w:t>
                  </w:r>
                </w:p>
              </w:tc>
              <w:tc>
                <w:tcPr>
                  <w:tcW w:w="4842" w:type="dxa"/>
                </w:tcPr>
                <w:p>
                  <w:pPr>
                    <w:autoSpaceDE w:val="0"/>
                    <w:autoSpaceDN w:val="0"/>
                    <w:jc w:val="center"/>
                    <w:rPr>
                      <w:kern w:val="0"/>
                      <w:sz w:val="22"/>
                      <w:szCs w:val="21"/>
                    </w:rPr>
                  </w:pPr>
                  <w:r>
                    <w:rPr>
                      <w:rFonts w:hint="eastAsia"/>
                      <w:kern w:val="0"/>
                      <w:sz w:val="22"/>
                      <w:szCs w:val="21"/>
                    </w:rPr>
                    <w:t>120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2246" w:type="dxa"/>
                  <w:tcMar>
                    <w:left w:w="0" w:type="dxa"/>
                    <w:right w:w="0" w:type="dxa"/>
                  </w:tcMar>
                </w:tcPr>
                <w:p>
                  <w:pPr>
                    <w:autoSpaceDE w:val="0"/>
                    <w:autoSpaceDN w:val="0"/>
                    <w:jc w:val="center"/>
                    <w:rPr>
                      <w:kern w:val="0"/>
                      <w:sz w:val="22"/>
                      <w:szCs w:val="21"/>
                    </w:rPr>
                  </w:pPr>
                  <w:r>
                    <w:rPr>
                      <w:kern w:val="0"/>
                      <w:sz w:val="22"/>
                      <w:szCs w:val="21"/>
                    </w:rPr>
                    <w:t>氯化氢</w:t>
                  </w:r>
                </w:p>
              </w:tc>
              <w:tc>
                <w:tcPr>
                  <w:tcW w:w="4842" w:type="dxa"/>
                </w:tcPr>
                <w:p>
                  <w:pPr>
                    <w:autoSpaceDE w:val="0"/>
                    <w:autoSpaceDN w:val="0"/>
                    <w:jc w:val="center"/>
                    <w:rPr>
                      <w:kern w:val="0"/>
                      <w:sz w:val="22"/>
                      <w:szCs w:val="21"/>
                    </w:rPr>
                  </w:pPr>
                  <w:r>
                    <w:rPr>
                      <w:rFonts w:hint="eastAsia"/>
                      <w:kern w:val="0"/>
                      <w:sz w:val="22"/>
                      <w:szCs w:val="21"/>
                    </w:rPr>
                    <w:t>100</w:t>
                  </w:r>
                </w:p>
              </w:tc>
            </w:tr>
          </w:tbl>
          <w:p>
            <w:pPr>
              <w:autoSpaceDE w:val="0"/>
              <w:autoSpaceDN w:val="0"/>
              <w:adjustRightInd w:val="0"/>
              <w:spacing w:line="360" w:lineRule="auto"/>
              <w:jc w:val="left"/>
              <w:rPr>
                <w:kern w:val="0"/>
                <w:sz w:val="24"/>
                <w:szCs w:val="22"/>
              </w:rPr>
            </w:pPr>
          </w:p>
          <w:p>
            <w:pPr>
              <w:spacing w:line="360" w:lineRule="auto"/>
              <w:ind w:firstLine="360" w:firstLineChars="150"/>
              <w:rPr>
                <w:rFonts w:ascii="宋体" w:hAnsi="宋体"/>
                <w:sz w:val="24"/>
              </w:rPr>
            </w:pPr>
            <w:r>
              <w:rPr>
                <w:kern w:val="0"/>
                <w:sz w:val="24"/>
                <w:szCs w:val="22"/>
              </w:rPr>
              <w:t>3、噪声：</w:t>
            </w:r>
            <w:r>
              <w:rPr>
                <w:rFonts w:hint="eastAsia"/>
                <w:kern w:val="0"/>
                <w:sz w:val="24"/>
                <w:szCs w:val="22"/>
              </w:rPr>
              <w:t>本项目生产过程中产生的噪声源主要为</w:t>
            </w:r>
            <w:r>
              <w:rPr>
                <w:rFonts w:hint="eastAsia" w:ascii="宋体" w:hAnsi="宋体"/>
                <w:sz w:val="24"/>
              </w:rPr>
              <w:t>压片机、冲床等设备</w:t>
            </w:r>
            <w:r>
              <w:rPr>
                <w:rFonts w:hint="eastAsia"/>
                <w:sz w:val="24"/>
              </w:rPr>
              <w:t>等，噪声源强在</w:t>
            </w:r>
            <w:r>
              <w:rPr>
                <w:rFonts w:hint="eastAsia" w:ascii="宋体" w:hAnsi="宋体"/>
                <w:sz w:val="24"/>
              </w:rPr>
              <w:t>60-70dB(A</w:t>
            </w:r>
            <w:r>
              <w:rPr>
                <w:rFonts w:hint="eastAsia"/>
                <w:sz w:val="24"/>
              </w:rPr>
              <w:t>)之间，</w:t>
            </w:r>
            <w:r>
              <w:rPr>
                <w:kern w:val="0"/>
                <w:sz w:val="24"/>
                <w:szCs w:val="22"/>
              </w:rPr>
              <w:t>项目噪声排放执行《工业企业厂界环</w:t>
            </w:r>
            <w:r>
              <w:rPr>
                <w:sz w:val="24"/>
              </w:rPr>
              <w:t>境噪声排放标准》（GB 12348-2008）</w:t>
            </w:r>
            <w:r>
              <w:rPr>
                <w:rFonts w:hint="eastAsia"/>
                <w:sz w:val="24"/>
              </w:rPr>
              <w:t>2</w:t>
            </w:r>
            <w:r>
              <w:rPr>
                <w:sz w:val="24"/>
              </w:rPr>
              <w:t>类标准，昼间≤6</w:t>
            </w:r>
            <w:r>
              <w:rPr>
                <w:rFonts w:hint="eastAsia"/>
                <w:sz w:val="24"/>
              </w:rPr>
              <w:t>0</w:t>
            </w:r>
            <w:r>
              <w:rPr>
                <w:sz w:val="24"/>
              </w:rPr>
              <w:t>dB(A)，夜间≤5</w:t>
            </w:r>
            <w:r>
              <w:rPr>
                <w:rFonts w:hint="eastAsia"/>
                <w:sz w:val="24"/>
              </w:rPr>
              <w:t>0</w:t>
            </w:r>
            <w:r>
              <w:rPr>
                <w:sz w:val="24"/>
              </w:rPr>
              <w:t>dB(A)</w:t>
            </w:r>
            <w:r>
              <w:rPr>
                <w:kern w:val="0"/>
                <w:sz w:val="24"/>
                <w:szCs w:val="22"/>
              </w:rPr>
              <w:t>。</w:t>
            </w:r>
          </w:p>
          <w:p>
            <w:pPr>
              <w:autoSpaceDE w:val="0"/>
              <w:autoSpaceDN w:val="0"/>
              <w:adjustRightInd w:val="0"/>
              <w:spacing w:line="360" w:lineRule="auto"/>
              <w:jc w:val="left"/>
              <w:rPr>
                <w:kern w:val="0"/>
                <w:sz w:val="24"/>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14" w:hRule="atLeast"/>
        </w:trPr>
        <w:tc>
          <w:tcPr>
            <w:tcW w:w="1898" w:type="dxa"/>
            <w:gridSpan w:val="2"/>
            <w:tcBorders>
              <w:top w:val="single" w:color="auto" w:sz="4" w:space="0"/>
              <w:left w:val="single" w:color="auto" w:sz="8" w:space="0"/>
              <w:bottom w:val="single" w:color="auto" w:sz="8" w:space="0"/>
              <w:right w:val="single" w:color="auto" w:sz="8" w:space="0"/>
            </w:tcBorders>
            <w:vAlign w:val="center"/>
          </w:tcPr>
          <w:p>
            <w:pPr>
              <w:autoSpaceDE w:val="0"/>
              <w:autoSpaceDN w:val="0"/>
              <w:adjustRightInd w:val="0"/>
              <w:snapToGrid w:val="0"/>
              <w:spacing w:line="360" w:lineRule="auto"/>
              <w:rPr>
                <w:bCs/>
                <w:kern w:val="0"/>
                <w:sz w:val="24"/>
                <w:szCs w:val="22"/>
              </w:rPr>
            </w:pPr>
            <w:r>
              <w:rPr>
                <w:bCs/>
                <w:kern w:val="0"/>
                <w:sz w:val="24"/>
                <w:szCs w:val="22"/>
                <w:lang w:eastAsia="en-US"/>
              </w:rPr>
              <w:t>工程基本情况</w:t>
            </w:r>
          </w:p>
          <w:p>
            <w:pPr>
              <w:autoSpaceDE w:val="0"/>
              <w:autoSpaceDN w:val="0"/>
              <w:adjustRightInd w:val="0"/>
              <w:snapToGrid w:val="0"/>
              <w:spacing w:line="360" w:lineRule="auto"/>
              <w:jc w:val="center"/>
              <w:rPr>
                <w:bCs/>
                <w:kern w:val="0"/>
                <w:sz w:val="24"/>
                <w:szCs w:val="22"/>
              </w:rPr>
            </w:pPr>
          </w:p>
        </w:tc>
        <w:tc>
          <w:tcPr>
            <w:tcW w:w="7645" w:type="dxa"/>
            <w:gridSpan w:val="2"/>
            <w:tcBorders>
              <w:top w:val="single" w:color="auto" w:sz="4" w:space="0"/>
              <w:left w:val="single" w:color="auto" w:sz="8" w:space="0"/>
              <w:bottom w:val="single" w:color="auto" w:sz="8" w:space="0"/>
              <w:right w:val="single" w:color="auto" w:sz="8" w:space="0"/>
            </w:tcBorders>
          </w:tcPr>
          <w:p>
            <w:pPr>
              <w:autoSpaceDE w:val="0"/>
              <w:autoSpaceDN w:val="0"/>
              <w:adjustRightInd w:val="0"/>
              <w:spacing w:line="360" w:lineRule="auto"/>
              <w:jc w:val="left"/>
              <w:rPr>
                <w:b/>
                <w:kern w:val="0"/>
                <w:sz w:val="20"/>
                <w:szCs w:val="20"/>
              </w:rPr>
            </w:pPr>
            <w:r>
              <w:rPr>
                <w:b/>
                <w:kern w:val="0"/>
                <w:sz w:val="24"/>
                <w:szCs w:val="22"/>
              </w:rPr>
              <w:t>1、项目情况：</w:t>
            </w:r>
          </w:p>
          <w:p>
            <w:pPr>
              <w:autoSpaceDE w:val="0"/>
              <w:autoSpaceDN w:val="0"/>
              <w:adjustRightInd w:val="0"/>
              <w:spacing w:line="360" w:lineRule="auto"/>
              <w:ind w:firstLine="480" w:firstLineChars="200"/>
              <w:jc w:val="left"/>
              <w:rPr>
                <w:sz w:val="24"/>
              </w:rPr>
            </w:pPr>
            <w:r>
              <w:rPr>
                <w:rFonts w:hint="eastAsia" w:ascii="宋体" w:hAnsi="宋体"/>
                <w:sz w:val="24"/>
              </w:rPr>
              <w:t>金万龙珠宝首饰（深圳）有限公司（以下简称项目），于2009年05月在深圳市盐田区沙头角保税区13栋4层开办，</w:t>
            </w:r>
            <w:r>
              <w:rPr>
                <w:rFonts w:hint="eastAsia"/>
                <w:color w:val="000000"/>
                <w:sz w:val="24"/>
              </w:rPr>
              <w:t>租用</w:t>
            </w:r>
            <w:r>
              <w:rPr>
                <w:rFonts w:hint="eastAsia"/>
                <w:sz w:val="24"/>
              </w:rPr>
              <w:t>深圳市深沙保（集团）有限公司</w:t>
            </w:r>
            <w:r>
              <w:rPr>
                <w:rFonts w:hint="eastAsia"/>
                <w:color w:val="000000"/>
                <w:sz w:val="24"/>
              </w:rPr>
              <w:t>的厂房（合同登记（备案）号：盐CA005714 ），面积1621.87平方米。</w:t>
            </w:r>
            <w:r>
              <w:rPr>
                <w:rFonts w:hint="eastAsia"/>
                <w:sz w:val="24"/>
              </w:rPr>
              <w:t>主要生产经营黄金首饰的生产加工。本次验收时，项目已搬迁，完成环评报告，并且取得“更名”环保审批手续</w:t>
            </w:r>
            <w:r>
              <w:rPr>
                <w:kern w:val="0"/>
                <w:sz w:val="24"/>
                <w:szCs w:val="22"/>
              </w:rPr>
              <w:t>（深盐环批[201</w:t>
            </w:r>
            <w:r>
              <w:rPr>
                <w:rFonts w:hint="eastAsia"/>
                <w:kern w:val="0"/>
                <w:sz w:val="24"/>
                <w:szCs w:val="22"/>
              </w:rPr>
              <w:t>2</w:t>
            </w:r>
            <w:r>
              <w:rPr>
                <w:kern w:val="0"/>
                <w:sz w:val="24"/>
                <w:szCs w:val="22"/>
              </w:rPr>
              <w:t>]800</w:t>
            </w:r>
            <w:r>
              <w:rPr>
                <w:rFonts w:hint="eastAsia"/>
                <w:kern w:val="0"/>
                <w:sz w:val="24"/>
                <w:szCs w:val="22"/>
              </w:rPr>
              <w:t>138</w:t>
            </w:r>
            <w:r>
              <w:rPr>
                <w:kern w:val="0"/>
                <w:sz w:val="24"/>
                <w:szCs w:val="22"/>
              </w:rPr>
              <w:t>号）</w:t>
            </w:r>
            <w:r>
              <w:rPr>
                <w:rFonts w:hint="eastAsia"/>
                <w:kern w:val="0"/>
                <w:sz w:val="24"/>
                <w:szCs w:val="22"/>
              </w:rPr>
              <w:t>。</w:t>
            </w:r>
          </w:p>
          <w:p>
            <w:pPr>
              <w:autoSpaceDE w:val="0"/>
              <w:autoSpaceDN w:val="0"/>
              <w:adjustRightInd w:val="0"/>
              <w:spacing w:line="360" w:lineRule="auto"/>
              <w:jc w:val="left"/>
              <w:rPr>
                <w:b/>
                <w:kern w:val="0"/>
                <w:sz w:val="24"/>
              </w:rPr>
            </w:pPr>
            <w:r>
              <w:rPr>
                <w:rFonts w:hint="eastAsia"/>
                <w:b/>
                <w:kern w:val="0"/>
                <w:sz w:val="24"/>
                <w:szCs w:val="22"/>
              </w:rPr>
              <w:t>2</w:t>
            </w:r>
            <w:r>
              <w:rPr>
                <w:b/>
                <w:kern w:val="0"/>
                <w:sz w:val="24"/>
                <w:szCs w:val="22"/>
              </w:rPr>
              <w:t>、</w:t>
            </w:r>
            <w:r>
              <w:rPr>
                <w:rFonts w:hint="eastAsia"/>
                <w:b/>
                <w:kern w:val="0"/>
                <w:sz w:val="24"/>
              </w:rPr>
              <w:t>项目的地理位置及周边环境现状</w:t>
            </w:r>
          </w:p>
          <w:p>
            <w:pPr>
              <w:autoSpaceDE w:val="0"/>
              <w:autoSpaceDN w:val="0"/>
              <w:adjustRightInd w:val="0"/>
              <w:spacing w:line="360" w:lineRule="auto"/>
              <w:ind w:firstLine="588" w:firstLineChars="245"/>
              <w:jc w:val="left"/>
              <w:rPr>
                <w:b/>
                <w:kern w:val="0"/>
                <w:sz w:val="24"/>
              </w:rPr>
            </w:pPr>
            <w:r>
              <w:rPr>
                <w:rFonts w:hint="eastAsia"/>
                <w:sz w:val="24"/>
              </w:rPr>
              <w:t>项目位于深圳市盐田区沙头角保税区13栋，项目位于13栋第4层，其余各层均为其它工厂厂房。项目四周均为工业区</w:t>
            </w:r>
            <w:r>
              <w:rPr>
                <w:rFonts w:hint="eastAsia" w:ascii="宋体" w:cs="宋体"/>
                <w:color w:val="000000"/>
                <w:sz w:val="24"/>
                <w:lang w:val="zh-CN"/>
              </w:rPr>
              <w:t>厂房，沙头角保税区内以珠宝加工、仓储物流类企业为主。</w:t>
            </w:r>
            <w:r>
              <w:rPr>
                <w:rFonts w:hint="eastAsia" w:ascii="宋体" w:hAnsi="宋体"/>
                <w:sz w:val="24"/>
              </w:rPr>
              <w:t>项目选址的地理坐标：N：22゜32ˊ；E：114゜13ˊ。项目地理位置如图1所示：</w:t>
            </w:r>
          </w:p>
          <w:p>
            <w:pPr>
              <w:adjustRightInd w:val="0"/>
              <w:snapToGrid w:val="0"/>
              <w:spacing w:line="360" w:lineRule="auto"/>
              <w:ind w:firstLine="480" w:firstLineChars="200"/>
              <w:rPr>
                <w:sz w:val="24"/>
              </w:rPr>
            </w:pPr>
            <w:r>
              <w:rPr>
                <w:sz w:val="24"/>
              </w:rPr>
              <w:drawing>
                <wp:inline distT="0" distB="0" distL="0" distR="0">
                  <wp:extent cx="4717415" cy="3188335"/>
                  <wp:effectExtent l="19050" t="0" r="6985" b="0"/>
                  <wp:docPr id="1" name="图片 0" descr="QQ截图20170520205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QQ截图20170520205508.png"/>
                          <pic:cNvPicPr>
                            <a:picLocks noChangeAspect="1"/>
                          </pic:cNvPicPr>
                        </pic:nvPicPr>
                        <pic:blipFill>
                          <a:blip r:embed="rId7"/>
                          <a:stretch>
                            <a:fillRect/>
                          </a:stretch>
                        </pic:blipFill>
                        <pic:spPr>
                          <a:xfrm>
                            <a:off x="0" y="0"/>
                            <a:ext cx="4717415" cy="3188335"/>
                          </a:xfrm>
                          <a:prstGeom prst="rect">
                            <a:avLst/>
                          </a:prstGeom>
                        </pic:spPr>
                      </pic:pic>
                    </a:graphicData>
                  </a:graphic>
                </wp:inline>
              </w:drawing>
            </w:r>
          </w:p>
          <w:p>
            <w:pPr>
              <w:jc w:val="center"/>
              <w:rPr>
                <w:sz w:val="24"/>
              </w:rPr>
            </w:pPr>
            <w:r>
              <w:rPr>
                <w:rFonts w:hint="eastAsia" w:ascii="宋体" w:hAnsi="宋体"/>
                <w:sz w:val="24"/>
              </w:rPr>
              <w:t>图1   项目地理位置</w:t>
            </w:r>
          </w:p>
          <w:p>
            <w:pPr>
              <w:spacing w:line="360" w:lineRule="auto"/>
              <w:ind w:firstLine="480" w:firstLineChars="200"/>
              <w:rPr>
                <w:rFonts w:ascii="宋体" w:hAnsi="宋体"/>
                <w:sz w:val="24"/>
              </w:rPr>
            </w:pPr>
            <w:r>
              <w:rPr>
                <w:rFonts w:hint="eastAsia" w:ascii="宋体" w:hAnsi="宋体"/>
                <w:sz w:val="24"/>
              </w:rPr>
              <w:t>项目东面是工业区15栋厂房、南面是工业区14栋厂房、西面是工业区10栋厂房、北面是工业区12栋厂房。</w:t>
            </w:r>
          </w:p>
          <w:p>
            <w:pPr>
              <w:spacing w:line="360" w:lineRule="auto"/>
              <w:ind w:firstLine="480" w:firstLineChars="200"/>
              <w:rPr>
                <w:rFonts w:ascii="宋体" w:hAnsi="宋体"/>
                <w:sz w:val="24"/>
              </w:rPr>
            </w:pPr>
            <w:r>
              <w:rPr>
                <w:rFonts w:hint="eastAsia" w:ascii="宋体" w:hAnsi="宋体"/>
                <w:sz w:val="24"/>
              </w:rPr>
              <w:t>项目周边情况如图2所示：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4024" w:hRule="atLeast"/>
        </w:trPr>
        <w:tc>
          <w:tcPr>
            <w:tcW w:w="1898" w:type="dxa"/>
            <w:gridSpan w:val="2"/>
            <w:tcBorders>
              <w:top w:val="single" w:color="auto" w:sz="4" w:space="0"/>
              <w:left w:val="single" w:color="auto" w:sz="8" w:space="0"/>
              <w:bottom w:val="single" w:color="auto" w:sz="8" w:space="0"/>
              <w:right w:val="single" w:color="auto" w:sz="8" w:space="0"/>
            </w:tcBorders>
            <w:vAlign w:val="center"/>
          </w:tcPr>
          <w:p>
            <w:pPr>
              <w:autoSpaceDE w:val="0"/>
              <w:autoSpaceDN w:val="0"/>
              <w:adjustRightInd w:val="0"/>
              <w:snapToGrid w:val="0"/>
              <w:spacing w:line="360" w:lineRule="auto"/>
              <w:rPr>
                <w:bCs/>
                <w:kern w:val="0"/>
                <w:sz w:val="24"/>
                <w:szCs w:val="22"/>
              </w:rPr>
            </w:pPr>
            <w:r>
              <w:rPr>
                <w:bCs/>
                <w:kern w:val="0"/>
                <w:sz w:val="24"/>
                <w:szCs w:val="22"/>
                <w:lang w:eastAsia="en-US"/>
              </w:rPr>
              <w:t>工程基本情况</w:t>
            </w:r>
          </w:p>
          <w:p>
            <w:pPr>
              <w:autoSpaceDE w:val="0"/>
              <w:autoSpaceDN w:val="0"/>
              <w:adjustRightInd w:val="0"/>
              <w:snapToGrid w:val="0"/>
              <w:spacing w:line="360" w:lineRule="auto"/>
              <w:jc w:val="center"/>
              <w:rPr>
                <w:bCs/>
                <w:kern w:val="0"/>
                <w:sz w:val="24"/>
                <w:szCs w:val="22"/>
              </w:rPr>
            </w:pPr>
          </w:p>
        </w:tc>
        <w:tc>
          <w:tcPr>
            <w:tcW w:w="7645" w:type="dxa"/>
            <w:gridSpan w:val="2"/>
            <w:tcBorders>
              <w:top w:val="single" w:color="auto" w:sz="4" w:space="0"/>
              <w:left w:val="single" w:color="auto" w:sz="8" w:space="0"/>
              <w:bottom w:val="single" w:color="auto" w:sz="8" w:space="0"/>
              <w:right w:val="single" w:color="auto" w:sz="8" w:space="0"/>
            </w:tcBorders>
          </w:tcPr>
          <w:p>
            <w:pPr>
              <w:autoSpaceDE w:val="0"/>
              <w:autoSpaceDN w:val="0"/>
              <w:adjustRightInd w:val="0"/>
              <w:spacing w:line="360" w:lineRule="auto"/>
              <w:jc w:val="left"/>
              <w:rPr>
                <w:kern w:val="0"/>
                <w:sz w:val="24"/>
                <w:szCs w:val="22"/>
              </w:rPr>
            </w:pPr>
            <w:r>
              <w:rPr>
                <w:kern w:val="0"/>
                <w:sz w:val="24"/>
                <w:szCs w:val="22"/>
              </w:rPr>
              <w:pict>
                <v:rect id="矩形 334" o:spid="_x0000_s1026" o:spt="1" style="position:absolute;left:0pt;margin-left:109.05pt;margin-top:99.75pt;height:24pt;width:77.25pt;z-index:251788288;mso-width-relative:page;mso-height-relative:page;" filled="t" stroked="f" coordsize="21600,21600" o:gfxdata="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8QYo2wAAAAsBAAAPAAAAAAAAAAEAIAAAACIA&#10;AABkcnMvZG93bnJldi54bWxQSwECFAAUAAAACACHTuJAX1ckagYCAAAoBAAADgAAAAAAAAABACAA&#10;AAAqAQAAZHJzL2Uyb0RvYy54bWxQSwUGAAAAAAYABgBZAQAAogUAAAAA&#10;">
                  <v:path/>
                  <v:fill type="gradient" on="t" color2="#767676" opacity="0f" o:opacity2="0f" focus="100%" focussize="0f,0f"/>
                  <v:stroke on="f" weight="1.25pt"/>
                  <v:imagedata o:title=""/>
                  <o:lock v:ext="edit"/>
                  <v:textbox>
                    <w:txbxContent>
                      <w:p>
                        <w:pPr>
                          <w:rPr>
                            <w:b/>
                            <w:color w:val="FF0000"/>
                          </w:rPr>
                        </w:pPr>
                        <w:r>
                          <w:rPr>
                            <w:rFonts w:hint="eastAsia"/>
                            <w:b/>
                            <w:color w:val="FF0000"/>
                          </w:rPr>
                          <w:t>项目所在地</w:t>
                        </w:r>
                      </w:p>
                      <w:p>
                        <w:pPr/>
                      </w:p>
                    </w:txbxContent>
                  </v:textbox>
                </v:rect>
              </w:pict>
            </w:r>
            <w:r>
              <w:rPr>
                <w:kern w:val="0"/>
                <w:sz w:val="24"/>
                <w:szCs w:val="22"/>
              </w:rPr>
              <w:pict>
                <v:rect id="矩形 382" o:spid="_x0000_s1140" o:spt="1" style="position:absolute;left:0pt;margin-left:199.05pt;margin-top:27.9pt;height:27pt;width:58.5pt;z-index:251829248;mso-width-relative:page;mso-height-relative:page;" filled="t" stroked="f" coordsize="21600,21600" o:gfxdata="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U8OadoAAAAKAQAADwAAAAAAAAABACAAAAAiAAAAZHJz&#10;L2Rvd25yZXYueG1sUEsBAhQAFAAAAAgAh07iQNa2mDcCAgAAJAQAAA4AAAAAAAAAAQAgAAAAKQEA&#10;AGRycy9lMm9Eb2MueG1sUEsFBgAAAAAGAAYAWQEAAJ0FAAAAAA==&#10;">
                  <v:path/>
                  <v:fill type="gradient" on="t" color2="#000000" opacity="0f" o:opacity2="0f" focus="100%" focussize="0f,0f"/>
                  <v:stroke on="f" weight="1.25pt"/>
                  <v:imagedata o:title=""/>
                  <o:lock v:ext="edit"/>
                  <v:textbox>
                    <w:txbxContent>
                      <w:p>
                        <w:pPr>
                          <w:rPr>
                            <w:b/>
                            <w:color w:val="FF0000"/>
                          </w:rPr>
                        </w:pPr>
                        <w:r>
                          <w:rPr>
                            <w:rFonts w:hint="eastAsia"/>
                            <w:b/>
                            <w:color w:val="FF0000"/>
                          </w:rPr>
                          <w:t>15栋</w:t>
                        </w:r>
                      </w:p>
                      <w:p>
                        <w:pPr/>
                      </w:p>
                    </w:txbxContent>
                  </v:textbox>
                </v:rect>
              </w:pict>
            </w:r>
            <w:r>
              <w:rPr>
                <w:kern w:val="0"/>
                <w:sz w:val="24"/>
                <w:szCs w:val="22"/>
              </w:rPr>
              <w:pict>
                <v:rect id="矩形 381" o:spid="_x0000_s1139" o:spt="1" style="position:absolute;left:0pt;margin-left:65.55pt;margin-top:54.75pt;height:24pt;width:77.25pt;z-index:251828224;mso-width-relative:page;mso-height-relative:page;" filled="t" stroked="f" coordsize="21600,21600" o:gfxdata="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CeKDdsAAAALAQAADwAAAAAAAAABACAAAAAi&#10;AAAAZHJzL2Rvd25yZXYueG1sUEsBAhQAFAAAAAgAh07iQHJUaZ0HAgAAKAQAAA4AAAAAAAAAAQAg&#10;AAAAKgEAAGRycy9lMm9Eb2MueG1sUEsFBgAAAAAGAAYAWQEAAKMFAAAAAA==&#10;">
                  <v:path/>
                  <v:fill type="gradient" on="t" color2="#767676" opacity="0f" o:opacity2="0f" focus="100%" focussize="0f,0f"/>
                  <v:stroke on="f" weight="1.25pt"/>
                  <v:imagedata o:title=""/>
                  <o:lock v:ext="edit"/>
                  <v:textbox>
                    <w:txbxContent>
                      <w:p>
                        <w:pPr>
                          <w:rPr>
                            <w:b/>
                            <w:color w:val="FF0000"/>
                          </w:rPr>
                        </w:pPr>
                        <w:r>
                          <w:rPr>
                            <w:rFonts w:hint="eastAsia"/>
                            <w:b/>
                            <w:color w:val="FF0000"/>
                          </w:rPr>
                          <w:t>12栋</w:t>
                        </w:r>
                      </w:p>
                      <w:p>
                        <w:pPr/>
                      </w:p>
                    </w:txbxContent>
                  </v:textbox>
                </v:rect>
              </w:pict>
            </w:r>
            <w:r>
              <w:rPr>
                <w:kern w:val="0"/>
                <w:sz w:val="24"/>
                <w:szCs w:val="22"/>
              </w:rPr>
              <w:pict>
                <v:rect id="矩形 380" o:spid="_x0000_s1138" o:spt="1" style="position:absolute;left:0pt;margin-left:55.65pt;margin-top:175.5pt;height:25.5pt;width:60.15pt;z-index:251827200;mso-width-relative:page;mso-height-relative:page;" filled="t" stroked="f" coordsize="21600,21600" o:gfxdata="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SVdc9oAAAALAQAADwAAAAAAAAABACAAAAAiAAAAZHJz&#10;L2Rvd25yZXYueG1sUEsBAhQAFAAAAAgAh07iQA+N43UCAgAAJAQAAA4AAAAAAAAAAQAgAAAAKQEA&#10;AGRycy9lMm9Eb2MueG1sUEsFBgAAAAAGAAYAWQEAAJ0FAAAAAA==&#10;">
                  <v:path/>
                  <v:fill type="gradient" on="t" color2="#000000" opacity="0f" o:opacity2="0f" focus="100%" focussize="0f,0f"/>
                  <v:stroke on="f" weight="1.25pt"/>
                  <v:imagedata o:title=""/>
                  <o:lock v:ext="edit"/>
                  <v:textbox>
                    <w:txbxContent>
                      <w:p>
                        <w:pPr>
                          <w:rPr>
                            <w:b/>
                            <w:color w:val="FF0000"/>
                          </w:rPr>
                        </w:pPr>
                        <w:r>
                          <w:rPr>
                            <w:rFonts w:hint="eastAsia"/>
                            <w:b/>
                            <w:color w:val="FF0000"/>
                          </w:rPr>
                          <w:t>10栋</w:t>
                        </w:r>
                      </w:p>
                      <w:p>
                        <w:pPr/>
                      </w:p>
                    </w:txbxContent>
                  </v:textbox>
                </v:rect>
              </w:pict>
            </w:r>
            <w:r>
              <w:rPr>
                <w:kern w:val="0"/>
                <w:sz w:val="24"/>
                <w:szCs w:val="22"/>
              </w:rPr>
              <w:pict>
                <v:rect id="矩形 379" o:spid="_x0000_s1137" o:spt="1" style="position:absolute;left:0pt;margin-left:197.55pt;margin-top:137.25pt;height:29.25pt;width:52.5pt;z-index:251826176;mso-width-relative:page;mso-height-relative:page;" filled="t" stroked="f" coordsize="21600,21600" o:gfxdata="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p1xF72wAAAAsBAAAPAAAAAAAAAAEAIAAAACIA&#10;AABkcnMvZG93bnJldi54bWxQSwECFAAUAAAACACHTuJAcxJmVQYCAAAkBAAADgAAAAAAAAABACAA&#10;AAAqAQAAZHJzL2Uyb0RvYy54bWxQSwUGAAAAAAYABgBZAQAAogUAAAAA&#10;">
                  <v:path/>
                  <v:fill type="gradient" on="t" color2="#000000" opacity="0f" o:opacity2="0f" focus="100%" focussize="0f,0f"/>
                  <v:stroke on="f" weight="1.25pt"/>
                  <v:imagedata o:title=""/>
                  <o:lock v:ext="edit"/>
                  <v:textbox>
                    <w:txbxContent>
                      <w:p>
                        <w:pPr>
                          <w:rPr>
                            <w:b/>
                            <w:color w:val="FF0000"/>
                          </w:rPr>
                        </w:pPr>
                        <w:r>
                          <w:rPr>
                            <w:rFonts w:hint="eastAsia"/>
                            <w:b/>
                            <w:color w:val="FF0000"/>
                          </w:rPr>
                          <w:t>14栋</w:t>
                        </w:r>
                      </w:p>
                      <w:p>
                        <w:pPr/>
                      </w:p>
                    </w:txbxContent>
                  </v:textbox>
                </v:rect>
              </w:pict>
            </w:r>
            <w:r>
              <w:rPr>
                <w:kern w:val="0"/>
                <w:sz w:val="24"/>
                <w:szCs w:val="22"/>
              </w:rPr>
              <w:drawing>
                <wp:inline distT="0" distB="0" distL="0" distR="0">
                  <wp:extent cx="4467225" cy="3314700"/>
                  <wp:effectExtent l="19050" t="0" r="9525" b="0"/>
                  <wp:docPr id="5" name="图片 1" descr="QQ截图20170520210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QQ截图20170520210319.png"/>
                          <pic:cNvPicPr>
                            <a:picLocks noChangeAspect="1"/>
                          </pic:cNvPicPr>
                        </pic:nvPicPr>
                        <pic:blipFill>
                          <a:blip r:embed="rId8"/>
                          <a:stretch>
                            <a:fillRect/>
                          </a:stretch>
                        </pic:blipFill>
                        <pic:spPr>
                          <a:xfrm>
                            <a:off x="0" y="0"/>
                            <a:ext cx="4467225" cy="3314700"/>
                          </a:xfrm>
                          <a:prstGeom prst="rect">
                            <a:avLst/>
                          </a:prstGeom>
                        </pic:spPr>
                      </pic:pic>
                    </a:graphicData>
                  </a:graphic>
                </wp:inline>
              </w:drawing>
            </w:r>
          </w:p>
          <w:p>
            <w:pPr>
              <w:autoSpaceDE w:val="0"/>
              <w:autoSpaceDN w:val="0"/>
              <w:adjustRightInd w:val="0"/>
              <w:spacing w:line="360" w:lineRule="auto"/>
              <w:jc w:val="center"/>
              <w:rPr>
                <w:kern w:val="0"/>
                <w:sz w:val="24"/>
                <w:szCs w:val="22"/>
              </w:rPr>
            </w:pPr>
            <w:r>
              <w:rPr>
                <w:rFonts w:hint="eastAsia" w:ascii="宋体" w:hAnsi="宋体"/>
                <w:sz w:val="24"/>
              </w:rPr>
              <w:t>图2   项目周边情况</w:t>
            </w:r>
          </w:p>
          <w:p>
            <w:pPr>
              <w:autoSpaceDE w:val="0"/>
              <w:autoSpaceDN w:val="0"/>
              <w:adjustRightInd w:val="0"/>
              <w:spacing w:line="360" w:lineRule="auto"/>
              <w:jc w:val="left"/>
              <w:rPr>
                <w:b/>
                <w:kern w:val="0"/>
                <w:sz w:val="24"/>
                <w:szCs w:val="22"/>
              </w:rPr>
            </w:pPr>
            <w:r>
              <w:rPr>
                <w:rFonts w:hint="eastAsia"/>
                <w:b/>
                <w:kern w:val="0"/>
                <w:sz w:val="24"/>
                <w:szCs w:val="22"/>
              </w:rPr>
              <w:t>3</w:t>
            </w:r>
            <w:r>
              <w:rPr>
                <w:b/>
                <w:kern w:val="0"/>
                <w:sz w:val="24"/>
                <w:szCs w:val="22"/>
              </w:rPr>
              <w:t>、项目产品内容</w:t>
            </w:r>
            <w:r>
              <w:rPr>
                <w:rFonts w:hint="eastAsia"/>
                <w:b/>
                <w:kern w:val="0"/>
                <w:sz w:val="24"/>
                <w:szCs w:val="22"/>
              </w:rPr>
              <w:t>：</w:t>
            </w:r>
          </w:p>
          <w:tbl>
            <w:tblPr>
              <w:tblStyle w:val="28"/>
              <w:tblW w:w="695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268"/>
              <w:gridCol w:w="1701"/>
              <w:gridCol w:w="18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47" w:type="dxa"/>
                  <w:vAlign w:val="top"/>
                </w:tcPr>
                <w:p>
                  <w:pPr>
                    <w:autoSpaceDE w:val="0"/>
                    <w:autoSpaceDN w:val="0"/>
                    <w:adjustRightInd w:val="0"/>
                    <w:spacing w:line="360" w:lineRule="auto"/>
                    <w:jc w:val="center"/>
                    <w:rPr>
                      <w:kern w:val="0"/>
                      <w:sz w:val="24"/>
                      <w:szCs w:val="22"/>
                    </w:rPr>
                  </w:pPr>
                  <w:r>
                    <w:rPr>
                      <w:kern w:val="0"/>
                      <w:sz w:val="24"/>
                      <w:szCs w:val="22"/>
                    </w:rPr>
                    <w:t>序号</w:t>
                  </w:r>
                </w:p>
              </w:tc>
              <w:tc>
                <w:tcPr>
                  <w:tcW w:w="2268" w:type="dxa"/>
                  <w:vAlign w:val="top"/>
                </w:tcPr>
                <w:p>
                  <w:pPr>
                    <w:autoSpaceDE w:val="0"/>
                    <w:autoSpaceDN w:val="0"/>
                    <w:adjustRightInd w:val="0"/>
                    <w:spacing w:line="360" w:lineRule="auto"/>
                    <w:jc w:val="center"/>
                    <w:rPr>
                      <w:kern w:val="0"/>
                      <w:sz w:val="24"/>
                      <w:szCs w:val="22"/>
                    </w:rPr>
                  </w:pPr>
                  <w:r>
                    <w:rPr>
                      <w:kern w:val="0"/>
                      <w:sz w:val="24"/>
                      <w:szCs w:val="22"/>
                    </w:rPr>
                    <w:t>产品</w:t>
                  </w:r>
                </w:p>
              </w:tc>
              <w:tc>
                <w:tcPr>
                  <w:tcW w:w="1701" w:type="dxa"/>
                  <w:vAlign w:val="top"/>
                </w:tcPr>
                <w:p>
                  <w:pPr>
                    <w:autoSpaceDE w:val="0"/>
                    <w:autoSpaceDN w:val="0"/>
                    <w:adjustRightInd w:val="0"/>
                    <w:spacing w:line="360" w:lineRule="auto"/>
                    <w:jc w:val="center"/>
                    <w:rPr>
                      <w:kern w:val="0"/>
                      <w:sz w:val="24"/>
                      <w:szCs w:val="22"/>
                    </w:rPr>
                  </w:pPr>
                  <w:r>
                    <w:rPr>
                      <w:kern w:val="0"/>
                      <w:sz w:val="24"/>
                      <w:szCs w:val="22"/>
                    </w:rPr>
                    <w:t>环评设计能力</w:t>
                  </w:r>
                </w:p>
              </w:tc>
              <w:tc>
                <w:tcPr>
                  <w:tcW w:w="1842" w:type="dxa"/>
                  <w:vAlign w:val="top"/>
                </w:tcPr>
                <w:p>
                  <w:pPr>
                    <w:autoSpaceDE w:val="0"/>
                    <w:autoSpaceDN w:val="0"/>
                    <w:adjustRightInd w:val="0"/>
                    <w:spacing w:line="360" w:lineRule="auto"/>
                    <w:jc w:val="center"/>
                    <w:rPr>
                      <w:kern w:val="0"/>
                      <w:sz w:val="24"/>
                      <w:szCs w:val="22"/>
                    </w:rPr>
                  </w:pPr>
                  <w:r>
                    <w:rPr>
                      <w:kern w:val="0"/>
                      <w:sz w:val="24"/>
                      <w:szCs w:val="22"/>
                    </w:rPr>
                    <w:t>实际生产能力</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47" w:type="dxa"/>
                  <w:vAlign w:val="top"/>
                </w:tcPr>
                <w:p>
                  <w:pPr>
                    <w:autoSpaceDE w:val="0"/>
                    <w:autoSpaceDN w:val="0"/>
                    <w:adjustRightInd w:val="0"/>
                    <w:spacing w:line="360" w:lineRule="auto"/>
                    <w:jc w:val="center"/>
                    <w:rPr>
                      <w:rFonts w:asciiTheme="minorEastAsia" w:hAnsiTheme="minorEastAsia" w:eastAsiaTheme="minorEastAsia"/>
                      <w:kern w:val="0"/>
                      <w:sz w:val="24"/>
                      <w:szCs w:val="22"/>
                    </w:rPr>
                  </w:pPr>
                  <w:r>
                    <w:rPr>
                      <w:rFonts w:hint="eastAsia" w:asciiTheme="minorEastAsia" w:hAnsiTheme="minorEastAsia" w:eastAsiaTheme="minorEastAsia"/>
                      <w:kern w:val="0"/>
                      <w:sz w:val="24"/>
                      <w:szCs w:val="22"/>
                    </w:rPr>
                    <w:t>1</w:t>
                  </w:r>
                </w:p>
              </w:tc>
              <w:tc>
                <w:tcPr>
                  <w:tcW w:w="2268" w:type="dxa"/>
                  <w:vAlign w:val="top"/>
                </w:tcPr>
                <w:p>
                  <w:pPr>
                    <w:autoSpaceDE w:val="0"/>
                    <w:autoSpaceDN w:val="0"/>
                    <w:adjustRightInd w:val="0"/>
                    <w:spacing w:line="360" w:lineRule="auto"/>
                    <w:jc w:val="center"/>
                    <w:rPr>
                      <w:kern w:val="0"/>
                      <w:sz w:val="24"/>
                      <w:szCs w:val="22"/>
                    </w:rPr>
                  </w:pPr>
                  <w:r>
                    <w:rPr>
                      <w:rFonts w:hint="eastAsia"/>
                      <w:kern w:val="0"/>
                      <w:sz w:val="24"/>
                      <w:szCs w:val="22"/>
                    </w:rPr>
                    <w:t>黄金首饰</w:t>
                  </w:r>
                </w:p>
              </w:tc>
              <w:tc>
                <w:tcPr>
                  <w:tcW w:w="1701" w:type="dxa"/>
                  <w:vAlign w:val="top"/>
                </w:tcPr>
                <w:p>
                  <w:pPr>
                    <w:autoSpaceDE w:val="0"/>
                    <w:autoSpaceDN w:val="0"/>
                    <w:adjustRightInd w:val="0"/>
                    <w:spacing w:line="360" w:lineRule="auto"/>
                    <w:jc w:val="center"/>
                    <w:rPr>
                      <w:kern w:val="0"/>
                      <w:sz w:val="24"/>
                      <w:szCs w:val="22"/>
                    </w:rPr>
                  </w:pPr>
                  <w:r>
                    <w:rPr>
                      <w:rFonts w:hint="eastAsia"/>
                      <w:kern w:val="0"/>
                      <w:sz w:val="24"/>
                      <w:szCs w:val="22"/>
                    </w:rPr>
                    <w:t>20000件</w:t>
                  </w:r>
                </w:p>
              </w:tc>
              <w:tc>
                <w:tcPr>
                  <w:tcW w:w="1842" w:type="dxa"/>
                  <w:vAlign w:val="top"/>
                </w:tcPr>
                <w:p>
                  <w:pPr>
                    <w:autoSpaceDE w:val="0"/>
                    <w:autoSpaceDN w:val="0"/>
                    <w:adjustRightInd w:val="0"/>
                    <w:spacing w:line="360" w:lineRule="auto"/>
                    <w:jc w:val="center"/>
                    <w:rPr>
                      <w:kern w:val="0"/>
                      <w:sz w:val="24"/>
                      <w:szCs w:val="22"/>
                    </w:rPr>
                  </w:pPr>
                  <w:r>
                    <w:rPr>
                      <w:rFonts w:hint="eastAsia"/>
                      <w:kern w:val="0"/>
                      <w:sz w:val="24"/>
                      <w:szCs w:val="22"/>
                    </w:rPr>
                    <w:t>20000件</w:t>
                  </w:r>
                </w:p>
              </w:tc>
            </w:tr>
          </w:tbl>
          <w:p>
            <w:pPr>
              <w:autoSpaceDE w:val="0"/>
              <w:autoSpaceDN w:val="0"/>
              <w:rPr>
                <w:kern w:val="0"/>
                <w:sz w:val="24"/>
                <w:szCs w:val="22"/>
                <w:highlight w:val="yellow"/>
              </w:rPr>
            </w:pPr>
          </w:p>
          <w:p>
            <w:pPr>
              <w:autoSpaceDE w:val="0"/>
              <w:autoSpaceDN w:val="0"/>
              <w:adjustRightInd w:val="0"/>
              <w:spacing w:line="360" w:lineRule="auto"/>
              <w:jc w:val="left"/>
              <w:rPr>
                <w:b/>
                <w:kern w:val="0"/>
                <w:sz w:val="24"/>
                <w:szCs w:val="22"/>
              </w:rPr>
            </w:pPr>
            <w:r>
              <w:rPr>
                <w:rFonts w:hint="eastAsia"/>
                <w:b/>
                <w:kern w:val="0"/>
                <w:sz w:val="24"/>
                <w:szCs w:val="22"/>
                <w:lang w:val="en-US" w:eastAsia="zh-CN"/>
              </w:rPr>
              <w:t>4、</w:t>
            </w:r>
            <w:r>
              <w:rPr>
                <w:b/>
                <w:kern w:val="0"/>
                <w:sz w:val="24"/>
                <w:szCs w:val="22"/>
              </w:rPr>
              <w:t>项目主要原</w:t>
            </w:r>
            <w:r>
              <w:rPr>
                <w:rFonts w:hint="eastAsia"/>
                <w:b/>
                <w:kern w:val="0"/>
                <w:sz w:val="24"/>
                <w:szCs w:val="22"/>
              </w:rPr>
              <w:t>、</w:t>
            </w:r>
            <w:r>
              <w:rPr>
                <w:b/>
                <w:kern w:val="0"/>
                <w:sz w:val="24"/>
                <w:szCs w:val="22"/>
              </w:rPr>
              <w:t>辅材料及年用量</w:t>
            </w:r>
            <w:r>
              <w:rPr>
                <w:rFonts w:hint="eastAsia"/>
                <w:b/>
                <w:kern w:val="0"/>
                <w:sz w:val="24"/>
                <w:szCs w:val="22"/>
              </w:rPr>
              <w:t>：</w:t>
            </w:r>
          </w:p>
          <w:tbl>
            <w:tblPr>
              <w:tblStyle w:val="28"/>
              <w:tblW w:w="695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847"/>
              <w:gridCol w:w="2122"/>
              <w:gridCol w:w="18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47"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asciiTheme="minorEastAsia" w:hAnsiTheme="minorEastAsia" w:eastAsiaTheme="minorEastAsia"/>
                      <w:kern w:val="0"/>
                      <w:sz w:val="24"/>
                      <w:szCs w:val="22"/>
                    </w:rPr>
                    <w:t>序号</w:t>
                  </w:r>
                </w:p>
              </w:tc>
              <w:tc>
                <w:tcPr>
                  <w:tcW w:w="1847"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asciiTheme="minorEastAsia" w:hAnsiTheme="minorEastAsia" w:eastAsiaTheme="minorEastAsia"/>
                      <w:kern w:val="0"/>
                      <w:sz w:val="24"/>
                      <w:szCs w:val="22"/>
                    </w:rPr>
                    <w:t>名称</w:t>
                  </w:r>
                </w:p>
              </w:tc>
              <w:tc>
                <w:tcPr>
                  <w:tcW w:w="2122"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asciiTheme="minorEastAsia" w:hAnsiTheme="minorEastAsia" w:eastAsiaTheme="minorEastAsia"/>
                      <w:kern w:val="0"/>
                      <w:sz w:val="24"/>
                      <w:szCs w:val="22"/>
                    </w:rPr>
                    <w:t>环评设计年用量</w:t>
                  </w:r>
                </w:p>
              </w:tc>
              <w:tc>
                <w:tcPr>
                  <w:tcW w:w="1842"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asciiTheme="minorEastAsia" w:hAnsiTheme="minorEastAsia" w:eastAsiaTheme="minorEastAsia"/>
                      <w:kern w:val="0"/>
                      <w:sz w:val="24"/>
                      <w:szCs w:val="22"/>
                    </w:rPr>
                    <w:t>实际年用量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147"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hint="eastAsia" w:asciiTheme="minorEastAsia" w:hAnsiTheme="minorEastAsia" w:eastAsiaTheme="minorEastAsia"/>
                      <w:kern w:val="0"/>
                      <w:sz w:val="24"/>
                      <w:szCs w:val="22"/>
                    </w:rPr>
                    <w:t>1</w:t>
                  </w:r>
                </w:p>
              </w:tc>
              <w:tc>
                <w:tcPr>
                  <w:tcW w:w="1847"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asciiTheme="minorEastAsia" w:hAnsiTheme="minorEastAsia" w:eastAsiaTheme="minorEastAsia"/>
                      <w:kern w:val="0"/>
                      <w:sz w:val="24"/>
                      <w:szCs w:val="22"/>
                    </w:rPr>
                    <w:t>黄金</w:t>
                  </w:r>
                </w:p>
              </w:tc>
              <w:tc>
                <w:tcPr>
                  <w:tcW w:w="2122"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hint="eastAsia" w:asciiTheme="minorEastAsia" w:hAnsiTheme="minorEastAsia" w:eastAsiaTheme="minorEastAsia"/>
                      <w:kern w:val="0"/>
                      <w:sz w:val="24"/>
                      <w:szCs w:val="22"/>
                    </w:rPr>
                    <w:t>450kg</w:t>
                  </w:r>
                </w:p>
              </w:tc>
              <w:tc>
                <w:tcPr>
                  <w:tcW w:w="1842" w:type="dxa"/>
                </w:tcPr>
                <w:p>
                  <w:pPr>
                    <w:autoSpaceDE w:val="0"/>
                    <w:autoSpaceDN w:val="0"/>
                    <w:adjustRightInd w:val="0"/>
                    <w:spacing w:line="360" w:lineRule="auto"/>
                    <w:jc w:val="center"/>
                    <w:rPr>
                      <w:rFonts w:asciiTheme="minorEastAsia" w:hAnsiTheme="minorEastAsia" w:eastAsiaTheme="minorEastAsia"/>
                      <w:kern w:val="0"/>
                      <w:sz w:val="24"/>
                      <w:szCs w:val="22"/>
                    </w:rPr>
                  </w:pPr>
                  <w:r>
                    <w:rPr>
                      <w:rFonts w:hint="eastAsia" w:asciiTheme="minorEastAsia" w:hAnsiTheme="minorEastAsia" w:eastAsiaTheme="minorEastAsia"/>
                      <w:kern w:val="0"/>
                      <w:sz w:val="24"/>
                      <w:szCs w:val="22"/>
                    </w:rPr>
                    <w:t>450kg</w:t>
                  </w:r>
                </w:p>
              </w:tc>
            </w:tr>
          </w:tbl>
          <w:p>
            <w:pPr>
              <w:autoSpaceDE w:val="0"/>
              <w:autoSpaceDN w:val="0"/>
              <w:rPr>
                <w:b/>
                <w:kern w:val="0"/>
                <w:sz w:val="24"/>
                <w:szCs w:val="22"/>
              </w:rPr>
            </w:pPr>
            <w:r>
              <w:rPr>
                <w:rFonts w:hint="eastAsia"/>
                <w:b/>
                <w:kern w:val="0"/>
                <w:sz w:val="24"/>
                <w:szCs w:val="22"/>
                <w:lang w:val="en-US" w:eastAsia="zh-CN"/>
              </w:rPr>
              <w:t>5</w:t>
            </w:r>
            <w:r>
              <w:rPr>
                <w:b/>
                <w:kern w:val="0"/>
                <w:sz w:val="24"/>
                <w:szCs w:val="22"/>
              </w:rPr>
              <w:t>、项目主要生产设备</w:t>
            </w:r>
            <w:r>
              <w:rPr>
                <w:rFonts w:hint="eastAsia"/>
                <w:b/>
                <w:kern w:val="0"/>
                <w:sz w:val="24"/>
                <w:szCs w:val="22"/>
              </w:rPr>
              <w:t>：</w:t>
            </w:r>
          </w:p>
          <w:tbl>
            <w:tblPr>
              <w:tblStyle w:val="28"/>
              <w:tblW w:w="741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229"/>
              <w:gridCol w:w="1962"/>
              <w:gridCol w:w="1258"/>
              <w:gridCol w:w="14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Align w:val="center"/>
                </w:tcPr>
                <w:p>
                  <w:pPr>
                    <w:autoSpaceDE w:val="0"/>
                    <w:autoSpaceDN w:val="0"/>
                    <w:jc w:val="center"/>
                    <w:rPr>
                      <w:b/>
                      <w:kern w:val="0"/>
                      <w:sz w:val="24"/>
                      <w:szCs w:val="22"/>
                    </w:rPr>
                  </w:pPr>
                  <w:r>
                    <w:rPr>
                      <w:b/>
                      <w:kern w:val="0"/>
                      <w:sz w:val="24"/>
                      <w:szCs w:val="22"/>
                    </w:rPr>
                    <w:t>类型</w:t>
                  </w:r>
                </w:p>
              </w:tc>
              <w:tc>
                <w:tcPr>
                  <w:tcW w:w="1229" w:type="dxa"/>
                  <w:vAlign w:val="center"/>
                </w:tcPr>
                <w:p>
                  <w:pPr>
                    <w:autoSpaceDE w:val="0"/>
                    <w:autoSpaceDN w:val="0"/>
                    <w:jc w:val="center"/>
                    <w:rPr>
                      <w:b/>
                      <w:kern w:val="0"/>
                      <w:sz w:val="24"/>
                      <w:szCs w:val="22"/>
                    </w:rPr>
                  </w:pPr>
                  <w:r>
                    <w:rPr>
                      <w:b/>
                      <w:kern w:val="0"/>
                      <w:sz w:val="24"/>
                      <w:szCs w:val="22"/>
                    </w:rPr>
                    <w:t>序号</w:t>
                  </w:r>
                </w:p>
              </w:tc>
              <w:tc>
                <w:tcPr>
                  <w:tcW w:w="1962" w:type="dxa"/>
                  <w:vAlign w:val="center"/>
                </w:tcPr>
                <w:p>
                  <w:pPr>
                    <w:autoSpaceDE w:val="0"/>
                    <w:autoSpaceDN w:val="0"/>
                    <w:jc w:val="center"/>
                    <w:rPr>
                      <w:b/>
                      <w:kern w:val="0"/>
                      <w:sz w:val="24"/>
                      <w:szCs w:val="22"/>
                    </w:rPr>
                  </w:pPr>
                  <w:r>
                    <w:rPr>
                      <w:b/>
                      <w:kern w:val="0"/>
                      <w:sz w:val="24"/>
                      <w:szCs w:val="22"/>
                    </w:rPr>
                    <w:t>名称</w:t>
                  </w:r>
                </w:p>
              </w:tc>
              <w:tc>
                <w:tcPr>
                  <w:tcW w:w="1258" w:type="dxa"/>
                  <w:vAlign w:val="center"/>
                </w:tcPr>
                <w:p>
                  <w:pPr>
                    <w:autoSpaceDE w:val="0"/>
                    <w:autoSpaceDN w:val="0"/>
                    <w:jc w:val="center"/>
                    <w:rPr>
                      <w:b/>
                      <w:kern w:val="0"/>
                      <w:sz w:val="24"/>
                      <w:szCs w:val="22"/>
                    </w:rPr>
                  </w:pPr>
                  <w:r>
                    <w:rPr>
                      <w:b/>
                      <w:kern w:val="0"/>
                      <w:sz w:val="24"/>
                      <w:szCs w:val="22"/>
                    </w:rPr>
                    <w:t>环评数量</w:t>
                  </w:r>
                </w:p>
              </w:tc>
              <w:tc>
                <w:tcPr>
                  <w:tcW w:w="1483" w:type="dxa"/>
                  <w:vAlign w:val="center"/>
                </w:tcPr>
                <w:p>
                  <w:pPr>
                    <w:autoSpaceDE w:val="0"/>
                    <w:autoSpaceDN w:val="0"/>
                    <w:jc w:val="center"/>
                    <w:rPr>
                      <w:b/>
                      <w:kern w:val="0"/>
                      <w:sz w:val="24"/>
                      <w:szCs w:val="22"/>
                    </w:rPr>
                  </w:pPr>
                  <w:r>
                    <w:rPr>
                      <w:b/>
                      <w:kern w:val="0"/>
                      <w:sz w:val="24"/>
                      <w:szCs w:val="22"/>
                    </w:rPr>
                    <w:t>实际数量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Merge w:val="restart"/>
                  <w:vAlign w:val="center"/>
                </w:tcPr>
                <w:p>
                  <w:pPr>
                    <w:autoSpaceDE w:val="0"/>
                    <w:autoSpaceDN w:val="0"/>
                    <w:adjustRightInd w:val="0"/>
                    <w:spacing w:line="360" w:lineRule="auto"/>
                    <w:jc w:val="center"/>
                    <w:rPr>
                      <w:kern w:val="0"/>
                      <w:sz w:val="24"/>
                      <w:szCs w:val="22"/>
                    </w:rPr>
                  </w:pPr>
                  <w:r>
                    <w:rPr>
                      <w:kern w:val="0"/>
                      <w:sz w:val="24"/>
                      <w:szCs w:val="22"/>
                    </w:rPr>
                    <w:t>生产设备</w:t>
                  </w:r>
                </w:p>
              </w:tc>
              <w:tc>
                <w:tcPr>
                  <w:tcW w:w="1229" w:type="dxa"/>
                  <w:vAlign w:val="center"/>
                </w:tcPr>
                <w:p>
                  <w:pPr>
                    <w:autoSpaceDE w:val="0"/>
                    <w:autoSpaceDN w:val="0"/>
                    <w:adjustRightInd w:val="0"/>
                    <w:spacing w:line="360" w:lineRule="auto"/>
                    <w:jc w:val="center"/>
                    <w:rPr>
                      <w:kern w:val="0"/>
                      <w:sz w:val="24"/>
                      <w:szCs w:val="22"/>
                    </w:rPr>
                  </w:pPr>
                  <w:r>
                    <w:rPr>
                      <w:rFonts w:hint="eastAsia"/>
                      <w:kern w:val="0"/>
                      <w:sz w:val="24"/>
                      <w:szCs w:val="22"/>
                    </w:rPr>
                    <w:t>1</w:t>
                  </w:r>
                </w:p>
              </w:tc>
              <w:tc>
                <w:tcPr>
                  <w:tcW w:w="1962"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执模机</w:t>
                  </w:r>
                </w:p>
              </w:tc>
              <w:tc>
                <w:tcPr>
                  <w:tcW w:w="1258"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4台</w:t>
                  </w:r>
                </w:p>
              </w:tc>
              <w:tc>
                <w:tcPr>
                  <w:tcW w:w="1483"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4台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Merge w:val="continue"/>
                  <w:vAlign w:val="center"/>
                </w:tcPr>
                <w:p>
                  <w:pPr>
                    <w:autoSpaceDE w:val="0"/>
                    <w:autoSpaceDN w:val="0"/>
                    <w:adjustRightInd w:val="0"/>
                    <w:spacing w:line="360" w:lineRule="auto"/>
                    <w:jc w:val="center"/>
                    <w:rPr>
                      <w:kern w:val="0"/>
                      <w:sz w:val="24"/>
                      <w:szCs w:val="22"/>
                    </w:rPr>
                  </w:pPr>
                </w:p>
              </w:tc>
              <w:tc>
                <w:tcPr>
                  <w:tcW w:w="1229" w:type="dxa"/>
                  <w:vAlign w:val="center"/>
                </w:tcPr>
                <w:p>
                  <w:pPr>
                    <w:autoSpaceDE w:val="0"/>
                    <w:autoSpaceDN w:val="0"/>
                    <w:adjustRightInd w:val="0"/>
                    <w:spacing w:line="360" w:lineRule="auto"/>
                    <w:jc w:val="center"/>
                    <w:rPr>
                      <w:kern w:val="0"/>
                      <w:sz w:val="24"/>
                      <w:szCs w:val="22"/>
                    </w:rPr>
                  </w:pPr>
                  <w:r>
                    <w:rPr>
                      <w:rFonts w:hint="eastAsia"/>
                      <w:kern w:val="0"/>
                      <w:sz w:val="24"/>
                      <w:szCs w:val="22"/>
                    </w:rPr>
                    <w:t>2</w:t>
                  </w:r>
                </w:p>
              </w:tc>
              <w:tc>
                <w:tcPr>
                  <w:tcW w:w="1962"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压片机</w:t>
                  </w:r>
                </w:p>
              </w:tc>
              <w:tc>
                <w:tcPr>
                  <w:tcW w:w="1258"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3台</w:t>
                  </w:r>
                </w:p>
              </w:tc>
              <w:tc>
                <w:tcPr>
                  <w:tcW w:w="1483"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3台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Merge w:val="continue"/>
                  <w:vAlign w:val="center"/>
                </w:tcPr>
                <w:p>
                  <w:pPr>
                    <w:autoSpaceDE w:val="0"/>
                    <w:autoSpaceDN w:val="0"/>
                    <w:adjustRightInd w:val="0"/>
                    <w:spacing w:line="360" w:lineRule="auto"/>
                    <w:jc w:val="center"/>
                    <w:rPr>
                      <w:kern w:val="0"/>
                      <w:sz w:val="24"/>
                      <w:szCs w:val="22"/>
                    </w:rPr>
                  </w:pPr>
                </w:p>
              </w:tc>
              <w:tc>
                <w:tcPr>
                  <w:tcW w:w="1229" w:type="dxa"/>
                  <w:vAlign w:val="center"/>
                </w:tcPr>
                <w:p>
                  <w:pPr>
                    <w:autoSpaceDE w:val="0"/>
                    <w:autoSpaceDN w:val="0"/>
                    <w:adjustRightInd w:val="0"/>
                    <w:spacing w:line="360" w:lineRule="auto"/>
                    <w:jc w:val="center"/>
                    <w:rPr>
                      <w:kern w:val="0"/>
                      <w:sz w:val="24"/>
                      <w:szCs w:val="22"/>
                    </w:rPr>
                  </w:pPr>
                  <w:r>
                    <w:rPr>
                      <w:rFonts w:hint="eastAsia"/>
                      <w:kern w:val="0"/>
                      <w:sz w:val="24"/>
                      <w:szCs w:val="22"/>
                    </w:rPr>
                    <w:t>3</w:t>
                  </w:r>
                </w:p>
              </w:tc>
              <w:tc>
                <w:tcPr>
                  <w:tcW w:w="1962"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车花机</w:t>
                  </w:r>
                </w:p>
              </w:tc>
              <w:tc>
                <w:tcPr>
                  <w:tcW w:w="1258"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3台</w:t>
                  </w:r>
                </w:p>
              </w:tc>
              <w:tc>
                <w:tcPr>
                  <w:tcW w:w="1483"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3台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Merge w:val="continue"/>
                  <w:vAlign w:val="center"/>
                </w:tcPr>
                <w:p>
                  <w:pPr>
                    <w:autoSpaceDE w:val="0"/>
                    <w:autoSpaceDN w:val="0"/>
                    <w:adjustRightInd w:val="0"/>
                    <w:spacing w:line="360" w:lineRule="auto"/>
                    <w:jc w:val="center"/>
                    <w:rPr>
                      <w:kern w:val="0"/>
                      <w:sz w:val="24"/>
                      <w:szCs w:val="22"/>
                    </w:rPr>
                  </w:pPr>
                </w:p>
              </w:tc>
              <w:tc>
                <w:tcPr>
                  <w:tcW w:w="1229" w:type="dxa"/>
                  <w:vAlign w:val="center"/>
                </w:tcPr>
                <w:p>
                  <w:pPr>
                    <w:autoSpaceDE w:val="0"/>
                    <w:autoSpaceDN w:val="0"/>
                    <w:adjustRightInd w:val="0"/>
                    <w:spacing w:line="360" w:lineRule="auto"/>
                    <w:jc w:val="center"/>
                    <w:rPr>
                      <w:kern w:val="0"/>
                      <w:sz w:val="24"/>
                      <w:szCs w:val="22"/>
                    </w:rPr>
                  </w:pPr>
                  <w:r>
                    <w:rPr>
                      <w:rFonts w:hint="eastAsia"/>
                      <w:kern w:val="0"/>
                      <w:sz w:val="24"/>
                      <w:szCs w:val="22"/>
                    </w:rPr>
                    <w:t>4</w:t>
                  </w:r>
                </w:p>
              </w:tc>
              <w:tc>
                <w:tcPr>
                  <w:tcW w:w="1962"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冲床</w:t>
                  </w:r>
                </w:p>
              </w:tc>
              <w:tc>
                <w:tcPr>
                  <w:tcW w:w="1258"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2台</w:t>
                  </w:r>
                </w:p>
              </w:tc>
              <w:tc>
                <w:tcPr>
                  <w:tcW w:w="1483"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2台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Merge w:val="continue"/>
                  <w:vAlign w:val="center"/>
                </w:tcPr>
                <w:p>
                  <w:pPr>
                    <w:autoSpaceDE w:val="0"/>
                    <w:autoSpaceDN w:val="0"/>
                    <w:adjustRightInd w:val="0"/>
                    <w:spacing w:line="360" w:lineRule="auto"/>
                    <w:jc w:val="center"/>
                    <w:rPr>
                      <w:kern w:val="0"/>
                      <w:sz w:val="24"/>
                      <w:szCs w:val="22"/>
                    </w:rPr>
                  </w:pPr>
                </w:p>
              </w:tc>
              <w:tc>
                <w:tcPr>
                  <w:tcW w:w="1229" w:type="dxa"/>
                  <w:vAlign w:val="center"/>
                </w:tcPr>
                <w:p>
                  <w:pPr>
                    <w:autoSpaceDE w:val="0"/>
                    <w:autoSpaceDN w:val="0"/>
                    <w:adjustRightInd w:val="0"/>
                    <w:spacing w:line="360" w:lineRule="auto"/>
                    <w:jc w:val="center"/>
                    <w:rPr>
                      <w:kern w:val="0"/>
                      <w:sz w:val="24"/>
                      <w:szCs w:val="22"/>
                    </w:rPr>
                  </w:pPr>
                  <w:r>
                    <w:rPr>
                      <w:rFonts w:hint="eastAsia"/>
                      <w:kern w:val="0"/>
                      <w:sz w:val="24"/>
                      <w:szCs w:val="22"/>
                    </w:rPr>
                    <w:t>5</w:t>
                  </w:r>
                </w:p>
              </w:tc>
              <w:tc>
                <w:tcPr>
                  <w:tcW w:w="1962"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超声波清洗机</w:t>
                  </w:r>
                </w:p>
              </w:tc>
              <w:tc>
                <w:tcPr>
                  <w:tcW w:w="1258"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1台</w:t>
                  </w:r>
                </w:p>
              </w:tc>
              <w:tc>
                <w:tcPr>
                  <w:tcW w:w="1483"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1台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482" w:type="dxa"/>
                  <w:vAlign w:val="center"/>
                </w:tcPr>
                <w:p>
                  <w:pPr>
                    <w:autoSpaceDE w:val="0"/>
                    <w:autoSpaceDN w:val="0"/>
                    <w:adjustRightInd w:val="0"/>
                    <w:spacing w:line="360" w:lineRule="auto"/>
                    <w:jc w:val="center"/>
                    <w:rPr>
                      <w:kern w:val="0"/>
                      <w:sz w:val="24"/>
                      <w:szCs w:val="22"/>
                    </w:rPr>
                  </w:pPr>
                  <w:r>
                    <w:rPr>
                      <w:kern w:val="0"/>
                      <w:sz w:val="24"/>
                      <w:szCs w:val="22"/>
                    </w:rPr>
                    <w:t>环保工程</w:t>
                  </w:r>
                </w:p>
              </w:tc>
              <w:tc>
                <w:tcPr>
                  <w:tcW w:w="1229" w:type="dxa"/>
                  <w:vAlign w:val="center"/>
                </w:tcPr>
                <w:p>
                  <w:pPr>
                    <w:autoSpaceDE w:val="0"/>
                    <w:autoSpaceDN w:val="0"/>
                    <w:adjustRightInd w:val="0"/>
                    <w:spacing w:line="360" w:lineRule="auto"/>
                    <w:jc w:val="center"/>
                    <w:rPr>
                      <w:kern w:val="0"/>
                      <w:sz w:val="24"/>
                      <w:szCs w:val="22"/>
                    </w:rPr>
                  </w:pPr>
                  <w:r>
                    <w:rPr>
                      <w:rFonts w:hint="eastAsia"/>
                      <w:kern w:val="0"/>
                      <w:sz w:val="24"/>
                      <w:szCs w:val="22"/>
                    </w:rPr>
                    <w:t>1</w:t>
                  </w:r>
                </w:p>
              </w:tc>
              <w:tc>
                <w:tcPr>
                  <w:tcW w:w="1962"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废气净化设备</w:t>
                  </w:r>
                </w:p>
              </w:tc>
              <w:tc>
                <w:tcPr>
                  <w:tcW w:w="1258"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1套</w:t>
                  </w:r>
                </w:p>
              </w:tc>
              <w:tc>
                <w:tcPr>
                  <w:tcW w:w="1483" w:type="dxa"/>
                  <w:vAlign w:val="center"/>
                </w:tcPr>
                <w:p>
                  <w:pPr>
                    <w:pStyle w:val="70"/>
                    <w:adjustRightInd w:val="0"/>
                    <w:spacing w:before="93" w:after="93" w:line="360" w:lineRule="auto"/>
                    <w:rPr>
                      <w:kern w:val="0"/>
                      <w:position w:val="0"/>
                      <w:sz w:val="24"/>
                      <w:szCs w:val="22"/>
                    </w:rPr>
                  </w:pPr>
                  <w:r>
                    <w:rPr>
                      <w:rFonts w:hint="eastAsia"/>
                      <w:kern w:val="0"/>
                      <w:position w:val="0"/>
                      <w:sz w:val="24"/>
                      <w:szCs w:val="22"/>
                    </w:rPr>
                    <w:t>1套</w:t>
                  </w:r>
                </w:p>
              </w:tc>
            </w:tr>
          </w:tbl>
          <w:p>
            <w:pPr>
              <w:autoSpaceDE w:val="0"/>
              <w:autoSpaceDN w:val="0"/>
              <w:rPr>
                <w:kern w:val="0"/>
                <w:sz w:val="24"/>
                <w:szCs w:val="22"/>
              </w:rPr>
            </w:pPr>
          </w:p>
        </w:tc>
      </w:tr>
    </w:tbl>
    <w:tbl>
      <w:tblPr>
        <w:tblStyle w:val="27"/>
        <w:tblW w:w="9613" w:type="dxa"/>
        <w:tblInd w:w="11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
        <w:gridCol w:w="29"/>
        <w:gridCol w:w="1776"/>
        <w:gridCol w:w="67"/>
        <w:gridCol w:w="7654"/>
        <w:gridCol w:w="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2"/>
          <w:gridAfter w:val="1"/>
          <w:wBefore w:w="41" w:type="dxa"/>
          <w:wAfter w:w="75" w:type="dxa"/>
          <w:trHeight w:val="13487" w:hRule="exact"/>
        </w:trPr>
        <w:tc>
          <w:tcPr>
            <w:tcW w:w="1843" w:type="dxa"/>
            <w:gridSpan w:val="2"/>
            <w:vAlign w:val="center"/>
          </w:tcPr>
          <w:p>
            <w:pPr>
              <w:autoSpaceDE w:val="0"/>
              <w:autoSpaceDN w:val="0"/>
              <w:spacing w:line="312" w:lineRule="exact"/>
              <w:ind w:left="283" w:right="146" w:hanging="120"/>
              <w:jc w:val="center"/>
              <w:rPr>
                <w:kern w:val="0"/>
                <w:sz w:val="24"/>
                <w:szCs w:val="22"/>
              </w:rPr>
            </w:pPr>
            <w:r>
              <w:rPr>
                <w:kern w:val="0"/>
                <w:sz w:val="24"/>
                <w:szCs w:val="22"/>
              </w:rPr>
              <w:t>营运期环境影响评价结论</w:t>
            </w:r>
          </w:p>
        </w:tc>
        <w:tc>
          <w:tcPr>
            <w:tcW w:w="7654" w:type="dxa"/>
          </w:tcPr>
          <w:p>
            <w:pPr>
              <w:pStyle w:val="8"/>
              <w:spacing w:before="24" w:after="24" w:line="360" w:lineRule="auto"/>
              <w:ind w:firstLine="354" w:firstLineChars="147"/>
              <w:rPr>
                <w:rFonts w:ascii="宋体" w:hAnsi="宋体"/>
                <w:b/>
                <w:sz w:val="24"/>
              </w:rPr>
            </w:pPr>
            <w:r>
              <w:rPr>
                <w:rFonts w:hint="eastAsia" w:ascii="宋体" w:hAnsi="宋体"/>
                <w:b/>
                <w:sz w:val="24"/>
              </w:rPr>
              <w:t>1、水环境影响分析</w:t>
            </w:r>
          </w:p>
          <w:p>
            <w:pPr>
              <w:spacing w:line="360" w:lineRule="auto"/>
              <w:ind w:firstLine="354" w:firstLineChars="147"/>
              <w:rPr>
                <w:rFonts w:ascii="宋体" w:hAnsi="宋体"/>
                <w:b/>
                <w:sz w:val="24"/>
              </w:rPr>
            </w:pPr>
            <w:r>
              <w:rPr>
                <w:rFonts w:hint="eastAsia" w:ascii="宋体" w:hAnsi="宋体"/>
                <w:b/>
                <w:sz w:val="24"/>
              </w:rPr>
              <w:t>（1）生产废水</w:t>
            </w:r>
          </w:p>
          <w:p>
            <w:pPr>
              <w:spacing w:line="360" w:lineRule="auto"/>
              <w:ind w:firstLine="360" w:firstLineChars="150"/>
              <w:rPr>
                <w:rFonts w:ascii="宋体" w:hAnsi="宋体"/>
                <w:sz w:val="24"/>
              </w:rPr>
            </w:pPr>
            <w:r>
              <w:rPr>
                <w:rFonts w:hint="eastAsia" w:ascii="宋体" w:hAnsi="宋体"/>
                <w:sz w:val="24"/>
              </w:rPr>
              <w:t>本项目清洗过程产生清洗废水，主要污染物为SS。废水产生量约为0.01m</w:t>
            </w:r>
            <w:r>
              <w:rPr>
                <w:rFonts w:hint="eastAsia" w:ascii="宋体" w:hAnsi="宋体"/>
                <w:sz w:val="24"/>
                <w:vertAlign w:val="superscript"/>
              </w:rPr>
              <w:t>3</w:t>
            </w:r>
            <w:r>
              <w:rPr>
                <w:rFonts w:hint="eastAsia" w:ascii="宋体" w:hAnsi="宋体"/>
                <w:sz w:val="24"/>
              </w:rPr>
              <w:t>/d，经收集后已交由有资质单位回收处理。</w:t>
            </w:r>
          </w:p>
          <w:p>
            <w:pPr>
              <w:spacing w:line="360" w:lineRule="auto"/>
              <w:ind w:firstLine="354" w:firstLineChars="147"/>
              <w:rPr>
                <w:rFonts w:ascii="宋体" w:hAnsi="宋体"/>
                <w:b/>
                <w:sz w:val="24"/>
              </w:rPr>
            </w:pPr>
            <w:r>
              <w:rPr>
                <w:rFonts w:hint="eastAsia" w:ascii="宋体" w:hAnsi="宋体"/>
                <w:b/>
                <w:sz w:val="24"/>
              </w:rPr>
              <w:t>（2）生活污水</w:t>
            </w:r>
          </w:p>
          <w:p>
            <w:pPr>
              <w:spacing w:line="360" w:lineRule="auto"/>
              <w:ind w:firstLine="360" w:firstLineChars="150"/>
              <w:rPr>
                <w:sz w:val="24"/>
              </w:rPr>
            </w:pPr>
            <w:r>
              <w:rPr>
                <w:rFonts w:hint="eastAsia" w:ascii="宋体" w:hAnsi="宋体"/>
                <w:sz w:val="24"/>
              </w:rPr>
              <w:t>本项目员工人数为45人，员工不在厂内食宿，根据《深圳市行业用水定额》，员工在班生活用水量按56升/d·人计，排污系数按0.9计，则生活污水排放量为2.0m</w:t>
            </w:r>
            <w:r>
              <w:rPr>
                <w:rFonts w:hint="eastAsia" w:ascii="宋体" w:hAnsi="宋体"/>
                <w:sz w:val="24"/>
                <w:vertAlign w:val="superscript"/>
              </w:rPr>
              <w:t>3</w:t>
            </w:r>
            <w:r>
              <w:rPr>
                <w:rFonts w:hint="eastAsia" w:ascii="宋体" w:hAnsi="宋体"/>
                <w:sz w:val="24"/>
              </w:rPr>
              <w:t>/d。</w:t>
            </w:r>
          </w:p>
          <w:p>
            <w:pPr>
              <w:pStyle w:val="71"/>
              <w:spacing w:line="324" w:lineRule="auto"/>
              <w:ind w:right="105" w:rightChars="50" w:firstLine="360" w:firstLineChars="150"/>
              <w:rPr>
                <w:rFonts w:ascii="Times New Roman"/>
                <w:color w:val="000000"/>
              </w:rPr>
            </w:pPr>
            <w:r>
              <w:t>本项目生活污水经厂区化粪池处理后经市政管网进入</w:t>
            </w:r>
            <w:r>
              <w:rPr>
                <w:rFonts w:hint="eastAsia"/>
              </w:rPr>
              <w:t>盐田</w:t>
            </w:r>
            <w:r>
              <w:t>污水处理厂处理，达到《水污染物排放限值》（DB44/26-2001）第二时段三级排放标准。</w:t>
            </w:r>
          </w:p>
          <w:p>
            <w:pPr>
              <w:spacing w:line="360" w:lineRule="auto"/>
              <w:ind w:firstLine="354" w:firstLineChars="147"/>
              <w:rPr>
                <w:rFonts w:ascii="宋体" w:hAnsi="宋体"/>
                <w:b/>
                <w:sz w:val="24"/>
              </w:rPr>
            </w:pPr>
            <w:r>
              <w:rPr>
                <w:rFonts w:hint="eastAsia" w:ascii="宋体" w:hAnsi="宋体"/>
                <w:b/>
                <w:sz w:val="24"/>
              </w:rPr>
              <w:t>2、大气环境影响分析</w:t>
            </w:r>
          </w:p>
          <w:p>
            <w:pPr>
              <w:spacing w:line="360" w:lineRule="auto"/>
              <w:ind w:firstLine="360" w:firstLineChars="150"/>
              <w:rPr>
                <w:rFonts w:ascii="宋体" w:hAnsi="宋体"/>
                <w:sz w:val="24"/>
              </w:rPr>
            </w:pPr>
            <w:r>
              <w:rPr>
                <w:rFonts w:hint="eastAsia"/>
                <w:sz w:val="24"/>
              </w:rPr>
              <w:t>粉尘：执模工序产生的粉尘为贵金属粉尘，项目设有一台吸尘器对粉尘进行收集。收集后的粉尘交专业回收公司回收处理。</w:t>
            </w:r>
          </w:p>
          <w:p>
            <w:pPr>
              <w:spacing w:line="360" w:lineRule="auto"/>
              <w:ind w:firstLine="360" w:firstLineChars="150"/>
              <w:rPr>
                <w:sz w:val="24"/>
              </w:rPr>
            </w:pPr>
            <w:r>
              <w:rPr>
                <w:rFonts w:hint="eastAsia"/>
                <w:sz w:val="24"/>
              </w:rPr>
              <w:t>废气：电金工序产生少量酸性废气，主要污染物为硫酸雾。项目电金容器容积为1000ml，电金液为蒸馏水、开缸剂的混合溶液，其配比为100：1。电金液每5天补充一次，其中开缸剂每次补充量为7ml。</w:t>
            </w:r>
          </w:p>
          <w:p>
            <w:pPr>
              <w:pStyle w:val="21"/>
              <w:spacing w:before="120" w:beforeLines="50"/>
              <w:ind w:left="0" w:leftChars="0" w:firstLine="360" w:firstLineChars="150"/>
              <w:rPr>
                <w:rFonts w:ascii="宋体" w:hAnsi="宋体"/>
                <w:sz w:val="24"/>
                <w:szCs w:val="24"/>
              </w:rPr>
            </w:pPr>
            <w:r>
              <w:rPr>
                <w:rFonts w:hint="eastAsia" w:ascii="宋体" w:hAnsi="宋体"/>
                <w:sz w:val="24"/>
                <w:szCs w:val="24"/>
              </w:rPr>
              <w:t>项目产生的废气</w:t>
            </w:r>
            <w:r>
              <w:rPr>
                <w:rFonts w:hint="eastAsia"/>
                <w:sz w:val="24"/>
                <w:szCs w:val="24"/>
              </w:rPr>
              <w:t>已</w:t>
            </w:r>
            <w:r>
              <w:rPr>
                <w:rFonts w:hint="eastAsia" w:hAnsi="宋体"/>
                <w:sz w:val="24"/>
                <w:szCs w:val="24"/>
              </w:rPr>
              <w:t>委托</w:t>
            </w:r>
            <w:r>
              <w:rPr>
                <w:rFonts w:hint="eastAsia" w:ascii="宋体" w:hAnsi="宋体"/>
                <w:sz w:val="24"/>
                <w:szCs w:val="24"/>
              </w:rPr>
              <w:t>深圳市鸿东环境工程有限公司进行废气治理设计。</w:t>
            </w:r>
          </w:p>
          <w:p>
            <w:pPr>
              <w:spacing w:line="360" w:lineRule="auto"/>
              <w:ind w:firstLine="360" w:firstLineChars="150"/>
              <w:rPr>
                <w:rFonts w:ascii="宋体" w:hAnsi="宋体"/>
                <w:sz w:val="24"/>
              </w:rPr>
            </w:pPr>
            <w:r>
              <w:rPr>
                <w:rFonts w:hint="eastAsia" w:ascii="宋体" w:hAnsi="宋体"/>
                <w:sz w:val="24"/>
              </w:rPr>
              <w:t>深圳市鸿东环境工程有限公司根据现场规模和现状，为确保废气和烟气的高效去除，针对珠宝生产车间采用一套H-D废气净化塔进行处理。</w:t>
            </w:r>
          </w:p>
          <w:p>
            <w:pPr>
              <w:spacing w:line="360" w:lineRule="auto"/>
              <w:ind w:firstLine="360" w:firstLineChars="150"/>
              <w:rPr>
                <w:rFonts w:ascii="宋体" w:hAnsi="宋体"/>
                <w:sz w:val="24"/>
              </w:rPr>
            </w:pPr>
            <w:r>
              <w:rPr>
                <w:rFonts w:hint="eastAsia" w:ascii="宋体" w:hAnsi="宋体"/>
                <w:sz w:val="24"/>
              </w:rPr>
              <w:t>废气治理方案选取鼓泡碱性溶液洗涤酸性废气的工艺，并针对珠宝加工废气产生的特点对净化塔的内部空间进行有效的设置，使其具有反应速度快、处理效率高、不易结垢、价格低廉等特点。</w:t>
            </w:r>
          </w:p>
          <w:p>
            <w:pPr>
              <w:spacing w:line="360" w:lineRule="auto"/>
              <w:ind w:firstLine="361" w:firstLineChars="150"/>
              <w:rPr>
                <w:rFonts w:ascii="宋体" w:hAnsi="宋体"/>
                <w:b/>
                <w:sz w:val="24"/>
              </w:rPr>
            </w:pPr>
            <w:r>
              <w:rPr>
                <w:rFonts w:hint="eastAsia" w:ascii="宋体" w:hAnsi="宋体"/>
                <w:b/>
                <w:sz w:val="24"/>
              </w:rPr>
              <w:t>工艺流程图见下图。</w:t>
            </w:r>
          </w:p>
          <w:p>
            <w:pPr>
              <w:spacing w:line="360" w:lineRule="auto"/>
              <w:ind w:firstLine="361" w:firstLineChars="150"/>
              <w:rPr>
                <w:rFonts w:ascii="宋体" w:hAnsi="宋体"/>
                <w:b/>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2"/>
          <w:gridAfter w:val="1"/>
          <w:wBefore w:w="41" w:type="dxa"/>
          <w:wAfter w:w="75" w:type="dxa"/>
          <w:trHeight w:val="14054" w:hRule="exact"/>
        </w:trPr>
        <w:tc>
          <w:tcPr>
            <w:tcW w:w="1843" w:type="dxa"/>
            <w:gridSpan w:val="2"/>
            <w:vAlign w:val="center"/>
          </w:tcPr>
          <w:p>
            <w:pPr>
              <w:autoSpaceDE w:val="0"/>
              <w:autoSpaceDN w:val="0"/>
              <w:spacing w:line="312" w:lineRule="exact"/>
              <w:ind w:left="283" w:right="146" w:hanging="120"/>
              <w:jc w:val="center"/>
              <w:rPr>
                <w:kern w:val="0"/>
                <w:sz w:val="24"/>
                <w:szCs w:val="22"/>
              </w:rPr>
            </w:pPr>
            <w:r>
              <w:rPr>
                <w:kern w:val="0"/>
                <w:sz w:val="24"/>
                <w:szCs w:val="22"/>
              </w:rPr>
              <w:t>营运期环境影响评价结论</w:t>
            </w:r>
          </w:p>
        </w:tc>
        <w:tc>
          <w:tcPr>
            <w:tcW w:w="7654" w:type="dxa"/>
          </w:tcPr>
          <w:p>
            <w:pPr>
              <w:spacing w:line="360" w:lineRule="auto"/>
              <w:ind w:firstLine="480" w:firstLineChars="200"/>
              <w:rPr>
                <w:sz w:val="24"/>
              </w:rPr>
            </w:pPr>
            <w:r>
              <w:rPr>
                <w:rFonts w:hint="eastAsia"/>
                <w:sz w:val="24"/>
              </w:rPr>
              <w:drawing>
                <wp:inline distT="0" distB="0" distL="0" distR="0">
                  <wp:extent cx="4164965" cy="1438275"/>
                  <wp:effectExtent l="19050" t="0" r="6626" b="0"/>
                  <wp:docPr id="2" name="图片 1" descr="QQ截图2017052515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70525151503.png"/>
                          <pic:cNvPicPr>
                            <a:picLocks noChangeAspect="1"/>
                          </pic:cNvPicPr>
                        </pic:nvPicPr>
                        <pic:blipFill>
                          <a:blip r:embed="rId9"/>
                          <a:stretch>
                            <a:fillRect/>
                          </a:stretch>
                        </pic:blipFill>
                        <pic:spPr>
                          <a:xfrm>
                            <a:off x="0" y="0"/>
                            <a:ext cx="4164778" cy="1438087"/>
                          </a:xfrm>
                          <a:prstGeom prst="rect">
                            <a:avLst/>
                          </a:prstGeom>
                        </pic:spPr>
                      </pic:pic>
                    </a:graphicData>
                  </a:graphic>
                </wp:inline>
              </w:drawing>
            </w:r>
          </w:p>
          <w:p>
            <w:pPr>
              <w:spacing w:line="360" w:lineRule="auto"/>
              <w:ind w:firstLine="360" w:firstLineChars="150"/>
              <w:rPr>
                <w:sz w:val="28"/>
                <w:szCs w:val="28"/>
              </w:rPr>
            </w:pPr>
            <w:r>
              <w:rPr>
                <w:rFonts w:hint="eastAsia"/>
                <w:sz w:val="24"/>
              </w:rPr>
              <w:t>该工艺生产过程中</w:t>
            </w:r>
            <w:r>
              <w:rPr>
                <w:rFonts w:hint="eastAsia" w:ascii="宋体" w:hAnsi="宋体"/>
                <w:sz w:val="24"/>
              </w:rPr>
              <w:t>排出的混合气体经集气罩收集后从塔体下方进气口沿切向进入HD废气净化装置，在通风机的动力作用下，迅速充满进气段空间，然后均匀地通过流段上升到吸收塔填料吸收段。在填料的表面上，混合气体与液箱中洗涤吸附液发生化学反应。反应生成物（多数为可溶性盐类）随吸收液流入下部贮液槽。未完全吸收的废气气体继续进入鼓泡废气净化装置，废气经高压风机的动力作用下，经过鼓泡净化器专设的鼓泡系统，使废气从细小气孔漫漫鼓出，废气与碱液充分混合，接触发生化学反应，废气中的硫酸雾酸性气体得以去除。</w:t>
            </w:r>
            <w:r>
              <w:rPr>
                <w:rFonts w:hint="eastAsia" w:ascii="宋体" w:hAnsi="宋体"/>
                <w:spacing w:val="-2"/>
                <w:sz w:val="24"/>
              </w:rPr>
              <w:t>经过处理后的清洁空气排入大气。</w:t>
            </w:r>
          </w:p>
          <w:p>
            <w:pPr>
              <w:spacing w:line="360" w:lineRule="auto"/>
              <w:ind w:firstLine="360" w:firstLineChars="150"/>
              <w:rPr>
                <w:rFonts w:ascii="宋体" w:hAnsi="宋体"/>
                <w:sz w:val="24"/>
              </w:rPr>
            </w:pPr>
            <w:r>
              <w:rPr>
                <w:rFonts w:hint="eastAsia" w:ascii="宋体" w:hAnsi="宋体"/>
                <w:sz w:val="24"/>
              </w:rPr>
              <w:t>经上述措施处理后，本项目产生的废气不会对周围环境造成不良影响，项目废气治理措施可行。</w:t>
            </w:r>
          </w:p>
          <w:p>
            <w:pPr>
              <w:pStyle w:val="8"/>
              <w:spacing w:before="24" w:after="24" w:line="360" w:lineRule="auto"/>
              <w:ind w:firstLine="419" w:firstLineChars="174"/>
              <w:rPr>
                <w:rFonts w:ascii="宋体" w:hAnsi="宋体"/>
                <w:sz w:val="24"/>
                <w:szCs w:val="24"/>
              </w:rPr>
            </w:pPr>
            <w:r>
              <w:rPr>
                <w:rFonts w:hint="eastAsia" w:ascii="宋体" w:hAnsi="宋体"/>
                <w:b/>
                <w:sz w:val="24"/>
              </w:rPr>
              <w:t>3、</w:t>
            </w:r>
            <w:r>
              <w:rPr>
                <w:rFonts w:hint="eastAsia" w:ascii="宋体" w:hAnsi="宋体"/>
                <w:b/>
                <w:sz w:val="24"/>
                <w:szCs w:val="24"/>
              </w:rPr>
              <w:t>声环境影响分析</w:t>
            </w:r>
          </w:p>
          <w:p>
            <w:pPr>
              <w:spacing w:line="360" w:lineRule="auto"/>
              <w:ind w:firstLine="360" w:firstLineChars="150"/>
              <w:rPr>
                <w:rFonts w:ascii="宋体" w:hAnsi="宋体"/>
                <w:sz w:val="24"/>
              </w:rPr>
            </w:pPr>
            <w:r>
              <w:rPr>
                <w:rFonts w:hint="eastAsia" w:ascii="宋体" w:hAnsi="宋体"/>
                <w:sz w:val="24"/>
              </w:rPr>
              <w:t>本项目压片机、冲床等设备在运转的过程中产生噪声，噪声值约为60-70dB(A)，建设单位已将</w:t>
            </w:r>
            <w:r>
              <w:rPr>
                <w:rFonts w:hAnsi="宋体"/>
                <w:sz w:val="24"/>
              </w:rPr>
              <w:t>产生噪声的设备布置在远离环境敏感点一侧的封闭车间内，通过厂房墙壁屏障作用一般可降噪</w:t>
            </w:r>
            <w:r>
              <w:rPr>
                <w:sz w:val="24"/>
              </w:rPr>
              <w:t>15~20dB(A)</w:t>
            </w:r>
            <w:r>
              <w:rPr>
                <w:rFonts w:hAnsi="宋体"/>
                <w:sz w:val="24"/>
              </w:rPr>
              <w:t>左右，</w:t>
            </w:r>
            <w:r>
              <w:rPr>
                <w:rFonts w:hint="eastAsia" w:hAnsi="宋体"/>
                <w:sz w:val="24"/>
              </w:rPr>
              <w:t>故</w:t>
            </w:r>
            <w:r>
              <w:rPr>
                <w:rFonts w:hint="eastAsia" w:ascii="宋体" w:hAnsi="宋体"/>
                <w:sz w:val="24"/>
              </w:rPr>
              <w:t>经厂房隔声、距离衰减后厂界噪声可以达到《工业企业厂界环境噪声排放标准》（GB12348-2008）中2类标准（昼间≤60dB(A)、夜间≤50dB(A)），不会对周围环境产生明显的不良影响。</w:t>
            </w:r>
          </w:p>
          <w:p>
            <w:pPr>
              <w:spacing w:line="360" w:lineRule="auto"/>
              <w:ind w:firstLine="354" w:firstLineChars="147"/>
              <w:rPr>
                <w:rFonts w:ascii="宋体" w:hAnsi="宋体"/>
                <w:b/>
                <w:sz w:val="24"/>
              </w:rPr>
            </w:pPr>
            <w:r>
              <w:rPr>
                <w:rFonts w:hint="eastAsia" w:ascii="宋体" w:hAnsi="宋体"/>
                <w:b/>
                <w:sz w:val="24"/>
              </w:rPr>
              <w:t>4、固体废弃物影响分析</w:t>
            </w:r>
          </w:p>
          <w:p>
            <w:pPr>
              <w:pStyle w:val="60"/>
              <w:spacing w:beforeLines="0" w:afterLines="0" w:line="360" w:lineRule="auto"/>
              <w:ind w:left="0" w:leftChars="0" w:firstLine="360" w:firstLineChars="150"/>
              <w:rPr>
                <w:rFonts w:ascii="宋体" w:hAnsi="宋体"/>
                <w:bCs/>
                <w:szCs w:val="24"/>
              </w:rPr>
            </w:pPr>
            <w:r>
              <w:rPr>
                <w:rFonts w:hint="eastAsia" w:ascii="宋体" w:hAnsi="宋体"/>
                <w:bCs/>
              </w:rPr>
              <w:t>本项目产生的固体废物主要是生产过程中产生的</w:t>
            </w:r>
            <w:r>
              <w:rPr>
                <w:rFonts w:hint="eastAsia" w:ascii="宋体" w:hAnsi="宋体"/>
                <w:bCs/>
                <w:szCs w:val="24"/>
              </w:rPr>
              <w:t>一般工业固体废物和员工生活垃圾。</w:t>
            </w:r>
          </w:p>
          <w:p>
            <w:pPr>
              <w:spacing w:line="360" w:lineRule="auto"/>
              <w:ind w:firstLine="480" w:firstLineChars="200"/>
              <w:rPr>
                <w:rFonts w:ascii="宋体" w:hAnsi="宋体"/>
                <w:sz w:val="24"/>
              </w:rPr>
            </w:pPr>
            <w:r>
              <w:rPr>
                <w:rFonts w:hint="eastAsia" w:ascii="宋体" w:hAnsi="宋体"/>
                <w:sz w:val="24"/>
              </w:rPr>
              <w:t>一般工业固废：废包装材料集中收集后统一交由有资质的单位回收处理。</w:t>
            </w:r>
          </w:p>
          <w:p>
            <w:pPr>
              <w:pStyle w:val="21"/>
              <w:spacing w:after="0" w:line="360" w:lineRule="auto"/>
              <w:ind w:left="0" w:leftChars="0" w:firstLine="360" w:firstLineChars="150"/>
              <w:rPr>
                <w:rFonts w:ascii="宋体" w:hAnsi="宋体"/>
                <w:sz w:val="24"/>
                <w:szCs w:val="24"/>
              </w:rPr>
            </w:pPr>
            <w:r>
              <w:rPr>
                <w:rFonts w:hint="eastAsia" w:ascii="宋体" w:hAnsi="宋体"/>
                <w:sz w:val="24"/>
                <w:szCs w:val="24"/>
              </w:rPr>
              <w:t>本项目员工有45人，生活垃圾每人每天按1kg计，生活垃圾产生</w:t>
            </w:r>
            <w:r>
              <w:rPr>
                <w:rFonts w:hint="eastAsia" w:ascii="宋体" w:hAnsi="宋体"/>
                <w:bCs/>
                <w:sz w:val="24"/>
                <w:szCs w:val="24"/>
              </w:rPr>
              <w:t>量为</w:t>
            </w:r>
            <w:r>
              <w:rPr>
                <w:rFonts w:hint="eastAsia" w:ascii="宋体" w:hAnsi="宋体"/>
                <w:sz w:val="24"/>
                <w:szCs w:val="24"/>
              </w:rPr>
              <w:t>45kg</w:t>
            </w:r>
            <w:r>
              <w:rPr>
                <w:rFonts w:hint="eastAsia" w:ascii="宋体" w:hAnsi="宋体"/>
                <w:bCs/>
                <w:sz w:val="24"/>
                <w:szCs w:val="24"/>
              </w:rPr>
              <w:t>/d</w:t>
            </w:r>
            <w:r>
              <w:rPr>
                <w:rFonts w:hint="eastAsia" w:ascii="宋体" w:hAnsi="宋体"/>
                <w:sz w:val="24"/>
                <w:szCs w:val="24"/>
              </w:rPr>
              <w:t>。分类收集后由环卫部门统一收集处理。</w:t>
            </w:r>
          </w:p>
          <w:p>
            <w:pPr>
              <w:spacing w:line="360" w:lineRule="auto"/>
              <w:ind w:firstLine="360" w:firstLineChars="150"/>
              <w:rPr>
                <w:rFonts w:ascii="宋体" w:hAnsi="宋体"/>
                <w:sz w:val="2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Before w:val="2"/>
          <w:gridAfter w:val="1"/>
          <w:wBefore w:w="41" w:type="dxa"/>
          <w:wAfter w:w="75" w:type="dxa"/>
          <w:trHeight w:val="13770" w:hRule="exact"/>
        </w:trPr>
        <w:tc>
          <w:tcPr>
            <w:tcW w:w="1843" w:type="dxa"/>
            <w:gridSpan w:val="2"/>
            <w:vAlign w:val="center"/>
          </w:tcPr>
          <w:p>
            <w:pPr>
              <w:autoSpaceDE w:val="0"/>
              <w:autoSpaceDN w:val="0"/>
              <w:spacing w:line="312" w:lineRule="exact"/>
              <w:ind w:left="283" w:right="146" w:hanging="120"/>
              <w:jc w:val="center"/>
              <w:rPr>
                <w:kern w:val="0"/>
                <w:sz w:val="24"/>
                <w:szCs w:val="22"/>
              </w:rPr>
            </w:pPr>
            <w:r>
              <w:rPr>
                <w:kern w:val="0"/>
                <w:sz w:val="24"/>
                <w:szCs w:val="22"/>
              </w:rPr>
              <w:t>营运期环境影响评价结论</w:t>
            </w:r>
          </w:p>
        </w:tc>
        <w:tc>
          <w:tcPr>
            <w:tcW w:w="7654" w:type="dxa"/>
          </w:tcPr>
          <w:p>
            <w:pPr>
              <w:spacing w:line="360" w:lineRule="auto"/>
              <w:ind w:firstLine="360" w:firstLineChars="150"/>
              <w:rPr>
                <w:rFonts w:ascii="宋体" w:hAnsi="宋体"/>
                <w:sz w:val="24"/>
              </w:rPr>
            </w:pPr>
            <w:r>
              <w:rPr>
                <w:rFonts w:hint="eastAsia" w:ascii="宋体" w:hAnsi="宋体"/>
                <w:sz w:val="24"/>
              </w:rPr>
              <w:t>经上述处理后，这些固体废物对周围环境不产生直接影响。</w:t>
            </w:r>
          </w:p>
          <w:p>
            <w:pPr>
              <w:spacing w:line="360" w:lineRule="auto"/>
              <w:ind w:firstLine="354" w:firstLineChars="147"/>
              <w:rPr>
                <w:rFonts w:ascii="宋体" w:hAnsi="宋体"/>
                <w:sz w:val="24"/>
              </w:rPr>
            </w:pPr>
            <w:r>
              <w:rPr>
                <w:rFonts w:hint="eastAsia" w:ascii="宋体" w:hAnsi="宋体"/>
                <w:b/>
                <w:sz w:val="24"/>
              </w:rPr>
              <w:t>5、环境风险分析</w:t>
            </w:r>
          </w:p>
          <w:p>
            <w:pPr>
              <w:tabs>
                <w:tab w:val="left" w:pos="1320"/>
              </w:tabs>
              <w:spacing w:line="360" w:lineRule="auto"/>
              <w:ind w:firstLine="360" w:firstLineChars="150"/>
              <w:rPr>
                <w:sz w:val="24"/>
              </w:rPr>
            </w:pPr>
            <w:r>
              <w:rPr>
                <w:rFonts w:hint="eastAsia"/>
                <w:sz w:val="24"/>
              </w:rPr>
              <w:t>根据《建设项目环境风险评价技术导则》（HJ/T169-2004）及其附录A.1，该项目原料和产品均不属于也不含有（HJ/T169-2004）及其附录A.1列示的有毒物质、易燃物质、爆炸性物质和活性化学物质等危险性物质。故本项目不存在重大危险源。</w:t>
            </w:r>
          </w:p>
          <w:p>
            <w:pPr>
              <w:spacing w:line="360" w:lineRule="auto"/>
              <w:ind w:firstLine="482" w:firstLineChars="200"/>
              <w:rPr>
                <w:rFonts w:ascii="宋体" w:hAnsi="宋体"/>
                <w:b/>
                <w:sz w:val="24"/>
              </w:rPr>
            </w:pPr>
            <w:r>
              <w:rPr>
                <w:rFonts w:hint="eastAsia"/>
                <w:b/>
                <w:sz w:val="24"/>
              </w:rPr>
              <w:t>6、</w:t>
            </w:r>
            <w:r>
              <w:rPr>
                <w:rFonts w:hint="eastAsia" w:ascii="宋体" w:hAnsi="宋体"/>
                <w:b/>
                <w:sz w:val="24"/>
              </w:rPr>
              <w:t>环境管理分析</w:t>
            </w:r>
          </w:p>
          <w:p>
            <w:pPr>
              <w:spacing w:line="360" w:lineRule="auto"/>
              <w:ind w:firstLine="360" w:firstLineChars="150"/>
              <w:rPr>
                <w:rFonts w:ascii="宋体" w:hAnsi="宋体"/>
                <w:sz w:val="24"/>
              </w:rPr>
            </w:pPr>
            <w:r>
              <w:rPr>
                <w:rFonts w:hint="eastAsia" w:ascii="宋体" w:hAnsi="宋体"/>
                <w:sz w:val="24"/>
              </w:rPr>
              <w:t>（1）环境管理内容</w:t>
            </w:r>
          </w:p>
          <w:p>
            <w:pPr>
              <w:spacing w:line="360" w:lineRule="auto"/>
              <w:ind w:firstLine="360" w:firstLineChars="150"/>
              <w:rPr>
                <w:rFonts w:ascii="宋体" w:hAnsi="宋体"/>
                <w:sz w:val="24"/>
              </w:rPr>
            </w:pPr>
            <w:r>
              <w:rPr>
                <w:rFonts w:hint="eastAsia" w:ascii="宋体" w:hAnsi="宋体"/>
                <w:sz w:val="24"/>
              </w:rPr>
              <w:t>为了保证项目建设与环境保护的协调发展，建设单位应设置环境管理部门，配备工作人员专门负责厂区内日常的环境管理、执法监督工作。本项目的环境管理重点为珠宝生产工序产生的酸性废气、生产设备运行噪声治理。</w:t>
            </w:r>
          </w:p>
          <w:p>
            <w:pPr>
              <w:spacing w:line="360" w:lineRule="auto"/>
              <w:ind w:firstLine="360" w:firstLineChars="150"/>
              <w:rPr>
                <w:rFonts w:ascii="宋体" w:hAnsi="宋体"/>
                <w:sz w:val="24"/>
              </w:rPr>
            </w:pPr>
            <w:r>
              <w:rPr>
                <w:rFonts w:hint="eastAsia" w:ascii="宋体" w:hAnsi="宋体"/>
                <w:sz w:val="24"/>
              </w:rPr>
              <w:t>针对废气处理设备的运行管理，建议建设单位应做好以下工作：</w:t>
            </w:r>
          </w:p>
          <w:p>
            <w:pPr>
              <w:spacing w:line="360" w:lineRule="auto"/>
              <w:ind w:firstLine="360" w:firstLineChars="150"/>
              <w:rPr>
                <w:rFonts w:ascii="宋体" w:hAnsi="宋体"/>
                <w:sz w:val="24"/>
              </w:rPr>
            </w:pPr>
            <w:r>
              <w:rPr>
                <w:rFonts w:hint="eastAsia" w:ascii="宋体" w:hAnsi="宋体"/>
                <w:sz w:val="24"/>
              </w:rPr>
              <w:t>①每天检查水箱水位是否正常，检查喷淋吸收液的PH值是否达到11；</w:t>
            </w:r>
          </w:p>
          <w:p>
            <w:pPr>
              <w:spacing w:line="360" w:lineRule="auto"/>
              <w:ind w:firstLine="360" w:firstLineChars="150"/>
              <w:rPr>
                <w:rFonts w:ascii="宋体" w:hAnsi="宋体"/>
                <w:sz w:val="24"/>
              </w:rPr>
            </w:pPr>
            <w:r>
              <w:rPr>
                <w:rFonts w:hint="eastAsia" w:ascii="宋体" w:hAnsi="宋体"/>
                <w:sz w:val="24"/>
              </w:rPr>
              <w:t>②检查喷淋装置是否有堵塞，如发现堵塞应及时清理；</w:t>
            </w:r>
          </w:p>
          <w:p>
            <w:pPr>
              <w:spacing w:line="360" w:lineRule="auto"/>
              <w:ind w:firstLine="360" w:firstLineChars="150"/>
              <w:rPr>
                <w:rFonts w:ascii="宋体" w:hAnsi="宋体"/>
                <w:sz w:val="24"/>
              </w:rPr>
            </w:pPr>
            <w:r>
              <w:rPr>
                <w:rFonts w:hint="eastAsia" w:ascii="宋体" w:hAnsi="宋体"/>
                <w:sz w:val="24"/>
              </w:rPr>
              <w:t>③检查风机、水泵运行是否正常，如有异常应及时停机检修；</w:t>
            </w:r>
          </w:p>
          <w:p>
            <w:pPr>
              <w:spacing w:line="360" w:lineRule="auto"/>
              <w:ind w:firstLine="360" w:firstLineChars="150"/>
              <w:rPr>
                <w:rFonts w:ascii="宋体" w:hAnsi="宋体"/>
                <w:sz w:val="24"/>
              </w:rPr>
            </w:pPr>
            <w:r>
              <w:rPr>
                <w:rFonts w:hint="eastAsia" w:ascii="宋体" w:hAnsi="宋体"/>
                <w:sz w:val="24"/>
              </w:rPr>
              <w:t>④定期更换循环水箱的吸收液（一般3天更换一次）；</w:t>
            </w:r>
          </w:p>
          <w:p>
            <w:pPr>
              <w:spacing w:line="360" w:lineRule="auto"/>
              <w:ind w:firstLine="315" w:firstLineChars="150"/>
              <w:rPr>
                <w:rFonts w:ascii="宋体" w:hAnsi="宋体"/>
                <w:sz w:val="24"/>
              </w:rPr>
            </w:pPr>
            <w:r>
              <w:rPr>
                <w:rFonts w:hint="eastAsia"/>
              </w:rPr>
              <w:t>⑤如实、认真填写设备运行管理情况记录，定期向地方环保管理部门汇报设施的运行状况。</w:t>
            </w:r>
          </w:p>
          <w:p>
            <w:pPr>
              <w:pStyle w:val="62"/>
              <w:ind w:firstLine="0"/>
            </w:pPr>
            <w:r>
              <w:rPr>
                <w:rFonts w:hint="eastAsia"/>
              </w:rPr>
              <w:t>（2）环境监测</w:t>
            </w:r>
          </w:p>
          <w:p>
            <w:pPr>
              <w:pStyle w:val="62"/>
              <w:ind w:firstLine="360" w:firstLineChars="150"/>
            </w:pPr>
            <w:r>
              <w:rPr>
                <w:rFonts w:hint="eastAsia"/>
              </w:rPr>
              <w:t>建议建设单位针对本项目的污染情况对废气和噪声进行监测。建设单位应设立自动在线监测仪，以利于环保部门监察。在不具备条件的情况下可委托有资质的检测机构定期监测，为环境管理提供依据。本项目废气污染物主要为酸雾；生产设备运行时噪声。</w:t>
            </w:r>
          </w:p>
          <w:p>
            <w:pPr>
              <w:pStyle w:val="62"/>
              <w:spacing w:before="120" w:beforeLines="50"/>
              <w:ind w:firstLine="0"/>
              <w:jc w:val="both"/>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75" w:type="dxa"/>
          <w:trHeight w:val="13487" w:hRule="exact"/>
          <w:jc w:val="center"/>
        </w:trPr>
        <w:tc>
          <w:tcPr>
            <w:tcW w:w="1884" w:type="dxa"/>
            <w:gridSpan w:val="4"/>
            <w:tcBorders>
              <w:top w:val="single" w:color="000000" w:sz="8" w:space="0"/>
              <w:left w:val="single" w:color="000000" w:sz="8" w:space="0"/>
              <w:bottom w:val="single" w:color="000000" w:sz="8" w:space="0"/>
              <w:right w:val="single" w:color="000000" w:sz="8" w:space="0"/>
            </w:tcBorders>
            <w:vAlign w:val="center"/>
          </w:tcPr>
          <w:p>
            <w:pPr>
              <w:autoSpaceDE w:val="0"/>
              <w:autoSpaceDN w:val="0"/>
              <w:spacing w:before="1" w:line="312" w:lineRule="exact"/>
              <w:ind w:left="523" w:right="386" w:hanging="120"/>
              <w:jc w:val="center"/>
              <w:rPr>
                <w:kern w:val="0"/>
                <w:sz w:val="24"/>
                <w:szCs w:val="22"/>
                <w:lang w:eastAsia="en-US"/>
              </w:rPr>
            </w:pPr>
            <w:r>
              <w:rPr>
                <w:kern w:val="0"/>
                <w:sz w:val="24"/>
                <w:szCs w:val="22"/>
                <w:lang w:eastAsia="en-US"/>
              </w:rPr>
              <w:t>环评结论和建议</w:t>
            </w:r>
          </w:p>
        </w:tc>
        <w:tc>
          <w:tcPr>
            <w:tcW w:w="7654" w:type="dxa"/>
            <w:tcBorders>
              <w:top w:val="single" w:color="000000" w:sz="8" w:space="0"/>
              <w:left w:val="single" w:color="000000" w:sz="8" w:space="0"/>
              <w:bottom w:val="single" w:color="000000" w:sz="8" w:space="0"/>
              <w:right w:val="single" w:color="000000" w:sz="8" w:space="0"/>
            </w:tcBorders>
          </w:tcPr>
          <w:p>
            <w:pPr>
              <w:autoSpaceDE w:val="0"/>
              <w:autoSpaceDN w:val="0"/>
              <w:adjustRightInd w:val="0"/>
              <w:spacing w:line="360" w:lineRule="auto"/>
              <w:jc w:val="left"/>
              <w:rPr>
                <w:b/>
                <w:kern w:val="0"/>
                <w:sz w:val="20"/>
                <w:szCs w:val="20"/>
              </w:rPr>
            </w:pPr>
            <w:r>
              <w:rPr>
                <w:b/>
                <w:kern w:val="0"/>
                <w:sz w:val="24"/>
                <w:szCs w:val="22"/>
              </w:rPr>
              <w:t>1、项目情况：</w:t>
            </w:r>
          </w:p>
          <w:p>
            <w:pPr>
              <w:autoSpaceDE w:val="0"/>
              <w:autoSpaceDN w:val="0"/>
              <w:adjustRightInd w:val="0"/>
              <w:spacing w:line="360" w:lineRule="auto"/>
              <w:ind w:firstLine="480" w:firstLineChars="200"/>
              <w:jc w:val="left"/>
              <w:rPr>
                <w:sz w:val="24"/>
              </w:rPr>
            </w:pPr>
            <w:r>
              <w:rPr>
                <w:rFonts w:hint="eastAsia" w:ascii="宋体" w:hAnsi="宋体"/>
                <w:sz w:val="24"/>
              </w:rPr>
              <w:t>金万龙珠宝首饰（深圳）有限公司（以下简称项目），于2009年05月在深圳市盐田区沙头角保税区13栋4层开办，</w:t>
            </w:r>
            <w:r>
              <w:rPr>
                <w:rFonts w:hint="eastAsia"/>
                <w:color w:val="000000"/>
                <w:sz w:val="24"/>
              </w:rPr>
              <w:t>租用</w:t>
            </w:r>
            <w:r>
              <w:rPr>
                <w:rFonts w:hint="eastAsia"/>
                <w:sz w:val="24"/>
              </w:rPr>
              <w:t>深圳市深沙保（集团）有限公司</w:t>
            </w:r>
            <w:r>
              <w:rPr>
                <w:rFonts w:hint="eastAsia"/>
                <w:color w:val="000000"/>
                <w:sz w:val="24"/>
              </w:rPr>
              <w:t>的厂房（合同登记（备案）号：盐CA005714 ），面积1621.87平方米。</w:t>
            </w:r>
            <w:r>
              <w:rPr>
                <w:rFonts w:hint="eastAsia"/>
                <w:sz w:val="24"/>
              </w:rPr>
              <w:t>主要生产经营黄金首饰的生产加工。本次验收时，项目已搬迁，完成环评报告，并且取得“更名”环保审批手续</w:t>
            </w:r>
            <w:r>
              <w:rPr>
                <w:kern w:val="0"/>
                <w:sz w:val="24"/>
                <w:szCs w:val="22"/>
              </w:rPr>
              <w:t>（深盐环批[201</w:t>
            </w:r>
            <w:r>
              <w:rPr>
                <w:rFonts w:hint="eastAsia"/>
                <w:kern w:val="0"/>
                <w:sz w:val="24"/>
                <w:szCs w:val="22"/>
              </w:rPr>
              <w:t>2</w:t>
            </w:r>
            <w:r>
              <w:rPr>
                <w:kern w:val="0"/>
                <w:sz w:val="24"/>
                <w:szCs w:val="22"/>
              </w:rPr>
              <w:t>]800</w:t>
            </w:r>
            <w:r>
              <w:rPr>
                <w:rFonts w:hint="eastAsia"/>
                <w:kern w:val="0"/>
                <w:sz w:val="24"/>
                <w:szCs w:val="22"/>
              </w:rPr>
              <w:t>138</w:t>
            </w:r>
            <w:r>
              <w:rPr>
                <w:kern w:val="0"/>
                <w:sz w:val="24"/>
                <w:szCs w:val="22"/>
              </w:rPr>
              <w:t>号）</w:t>
            </w:r>
            <w:r>
              <w:rPr>
                <w:rFonts w:hint="eastAsia"/>
                <w:kern w:val="0"/>
                <w:sz w:val="24"/>
                <w:szCs w:val="22"/>
              </w:rPr>
              <w:t>。</w:t>
            </w:r>
          </w:p>
          <w:p>
            <w:pPr>
              <w:widowControl/>
              <w:tabs>
                <w:tab w:val="center" w:pos="4538"/>
              </w:tabs>
              <w:spacing w:line="360" w:lineRule="auto"/>
              <w:ind w:firstLine="354" w:firstLineChars="147"/>
              <w:rPr>
                <w:rFonts w:ascii="宋体" w:hAnsi="宋体"/>
                <w:b/>
                <w:sz w:val="24"/>
              </w:rPr>
            </w:pPr>
            <w:r>
              <w:rPr>
                <w:rFonts w:hint="eastAsia" w:ascii="宋体" w:hAnsi="宋体"/>
                <w:b/>
                <w:sz w:val="24"/>
              </w:rPr>
              <w:t>2、环境影响因素及建议治理措施</w:t>
            </w:r>
          </w:p>
          <w:p>
            <w:pPr>
              <w:widowControl/>
              <w:tabs>
                <w:tab w:val="center" w:pos="4538"/>
              </w:tabs>
              <w:spacing w:line="360" w:lineRule="auto"/>
              <w:ind w:firstLine="361" w:firstLineChars="150"/>
              <w:rPr>
                <w:rFonts w:ascii="宋体" w:hAnsi="宋体"/>
                <w:sz w:val="24"/>
              </w:rPr>
            </w:pPr>
            <w:r>
              <w:rPr>
                <w:rFonts w:hint="eastAsia" w:ascii="宋体" w:hAnsi="宋体"/>
                <w:b/>
                <w:sz w:val="24"/>
              </w:rPr>
              <w:t>水污染物</w:t>
            </w:r>
          </w:p>
          <w:p>
            <w:pPr>
              <w:spacing w:line="360" w:lineRule="auto"/>
              <w:ind w:firstLine="482" w:firstLineChars="200"/>
              <w:rPr>
                <w:rFonts w:ascii="宋体" w:hAnsi="宋体"/>
                <w:b/>
                <w:sz w:val="24"/>
              </w:rPr>
            </w:pPr>
            <w:r>
              <w:rPr>
                <w:rFonts w:hint="eastAsia" w:ascii="宋体" w:hAnsi="宋体"/>
                <w:b/>
                <w:sz w:val="24"/>
              </w:rPr>
              <w:t xml:space="preserve">（1）生产废水 </w:t>
            </w:r>
          </w:p>
          <w:p>
            <w:pPr>
              <w:spacing w:line="360" w:lineRule="auto"/>
              <w:ind w:firstLine="480" w:firstLineChars="200"/>
              <w:rPr>
                <w:rFonts w:ascii="宋体" w:hAnsi="宋体"/>
                <w:sz w:val="24"/>
              </w:rPr>
            </w:pPr>
            <w:r>
              <w:rPr>
                <w:rFonts w:hint="eastAsia" w:ascii="宋体" w:hAnsi="宋体"/>
                <w:sz w:val="24"/>
              </w:rPr>
              <w:t xml:space="preserve">建议项目建造生产废水收集系统，将废水集中收集后定期委托有资质的单位统一处理，不外排。 </w:t>
            </w:r>
          </w:p>
          <w:p>
            <w:pPr>
              <w:spacing w:line="360" w:lineRule="auto"/>
              <w:ind w:firstLine="482" w:firstLineChars="200"/>
              <w:rPr>
                <w:rFonts w:ascii="宋体" w:hAnsi="宋体"/>
                <w:b/>
                <w:sz w:val="24"/>
              </w:rPr>
            </w:pPr>
            <w:r>
              <w:rPr>
                <w:rFonts w:hint="eastAsia" w:ascii="宋体" w:hAnsi="宋体"/>
                <w:b/>
                <w:sz w:val="24"/>
              </w:rPr>
              <w:t xml:space="preserve">（2）生活污水 </w:t>
            </w:r>
          </w:p>
          <w:p>
            <w:pPr>
              <w:spacing w:line="360" w:lineRule="auto"/>
              <w:ind w:firstLine="480" w:firstLineChars="200"/>
              <w:rPr>
                <w:rFonts w:ascii="宋体" w:hAnsi="宋体"/>
                <w:sz w:val="24"/>
              </w:rPr>
            </w:pPr>
            <w:r>
              <w:rPr>
                <w:rFonts w:hint="eastAsia" w:ascii="宋体" w:hAnsi="宋体"/>
                <w:sz w:val="24"/>
              </w:rPr>
              <w:t>项目员工45人，员工在厂区外住宿，按人均日用水量0.05m</w:t>
            </w:r>
            <w:r>
              <w:rPr>
                <w:rFonts w:ascii="宋体" w:hAnsi="宋体"/>
                <w:sz w:val="24"/>
              </w:rPr>
              <w:t>³</w:t>
            </w:r>
            <w:r>
              <w:rPr>
                <w:rFonts w:hint="eastAsia" w:ascii="宋体" w:hAnsi="宋体"/>
                <w:sz w:val="24"/>
              </w:rPr>
              <w:t>/人·日计算，排放系数0.9，生活污水排放量约为2.0t/d。主要污染因子有CODcr、SS、BOD</w:t>
            </w:r>
            <w:r>
              <w:rPr>
                <w:rFonts w:hint="eastAsia" w:ascii="宋体" w:hAnsi="宋体"/>
                <w:sz w:val="24"/>
                <w:vertAlign w:val="subscript"/>
              </w:rPr>
              <w:t>5</w:t>
            </w:r>
            <w:r>
              <w:rPr>
                <w:rFonts w:hint="eastAsia" w:ascii="宋体" w:hAnsi="宋体"/>
                <w:sz w:val="24"/>
              </w:rPr>
              <w:t xml:space="preserve">、氨氮等。 </w:t>
            </w:r>
          </w:p>
          <w:p>
            <w:pPr>
              <w:widowControl/>
              <w:tabs>
                <w:tab w:val="center" w:pos="4538"/>
              </w:tabs>
              <w:spacing w:line="360" w:lineRule="auto"/>
              <w:ind w:firstLine="353" w:firstLineChars="147"/>
              <w:rPr>
                <w:rFonts w:ascii="宋体" w:hAnsi="宋体"/>
                <w:b/>
                <w:sz w:val="24"/>
              </w:rPr>
            </w:pPr>
            <w:r>
              <w:rPr>
                <w:rFonts w:hint="eastAsia" w:ascii="宋体" w:hAnsi="宋体"/>
                <w:sz w:val="24"/>
              </w:rPr>
              <w:t>项目所在区域属盐田污水处理厂处理范围，项目生活污水经化粪池处理后进入深盐路污水管网，最终进入盐田污水处理厂。</w:t>
            </w:r>
          </w:p>
          <w:p>
            <w:pPr>
              <w:spacing w:line="360" w:lineRule="auto"/>
              <w:ind w:firstLine="482" w:firstLineChars="200"/>
              <w:rPr>
                <w:rFonts w:ascii="宋体" w:hAnsi="宋体"/>
                <w:b/>
                <w:sz w:val="24"/>
              </w:rPr>
            </w:pPr>
            <w:r>
              <w:rPr>
                <w:rFonts w:hint="eastAsia" w:ascii="宋体" w:hAnsi="宋体"/>
                <w:b/>
                <w:sz w:val="24"/>
              </w:rPr>
              <w:t xml:space="preserve">大气污染物 </w:t>
            </w:r>
          </w:p>
          <w:p>
            <w:pPr>
              <w:spacing w:line="360" w:lineRule="auto"/>
              <w:ind w:firstLine="480" w:firstLineChars="200"/>
              <w:rPr>
                <w:rFonts w:ascii="宋体" w:hAnsi="宋体"/>
                <w:sz w:val="24"/>
              </w:rPr>
            </w:pPr>
            <w:r>
              <w:rPr>
                <w:rFonts w:hint="eastAsia" w:ascii="宋体" w:hAnsi="宋体"/>
                <w:sz w:val="24"/>
              </w:rPr>
              <w:t xml:space="preserve">建议项目在电金工位进一步利用废气收集装置将电金工序产生的酸性废气利用鼓泡废气净化设备处理后抽出车间外高空排放；在执模工位设置局部抽风设备，将贵金属粉尘粉尘废气通过抽风装置抽至中央吸尘器处理后排放。废气经净化处理后可满足广东省《大气污染物排放限值》（DB44/27-2001）第二时段二级排放标准要求。 </w:t>
            </w:r>
          </w:p>
          <w:p>
            <w:pPr>
              <w:widowControl/>
              <w:tabs>
                <w:tab w:val="center" w:pos="4538"/>
              </w:tabs>
              <w:spacing w:line="360" w:lineRule="auto"/>
              <w:ind w:firstLine="472" w:firstLineChars="196"/>
              <w:rPr>
                <w:rFonts w:ascii="宋体" w:hAnsi="宋体"/>
                <w:b/>
                <w:sz w:val="24"/>
              </w:rPr>
            </w:pPr>
            <w:r>
              <w:rPr>
                <w:rFonts w:hint="eastAsia" w:ascii="宋体" w:hAnsi="宋体"/>
                <w:b/>
                <w:sz w:val="24"/>
              </w:rPr>
              <w:t>噪声</w:t>
            </w:r>
          </w:p>
          <w:p>
            <w:pPr>
              <w:spacing w:line="360" w:lineRule="auto"/>
              <w:ind w:firstLine="480" w:firstLineChars="200"/>
              <w:rPr>
                <w:rFonts w:ascii="宋体" w:hAnsi="宋体"/>
                <w:sz w:val="24"/>
              </w:rPr>
            </w:pPr>
            <w:r>
              <w:rPr>
                <w:rFonts w:hint="eastAsia" w:ascii="宋体" w:hAnsi="宋体"/>
                <w:sz w:val="24"/>
              </w:rPr>
              <w:t xml:space="preserve">项目主要的噪声为压片机、冲床等设备使用过程中产生的噪声，约65-80dB（A）。 </w:t>
            </w:r>
          </w:p>
          <w:p>
            <w:pPr>
              <w:spacing w:line="336" w:lineRule="auto"/>
              <w:ind w:firstLine="480" w:firstLineChars="200"/>
              <w:rPr>
                <w:b/>
                <w:kern w:val="0"/>
                <w:sz w:val="24"/>
                <w:szCs w:val="22"/>
              </w:rPr>
            </w:pPr>
            <w:r>
              <w:rPr>
                <w:rFonts w:hint="eastAsia" w:ascii="宋体" w:hAnsi="宋体"/>
                <w:sz w:val="24"/>
              </w:rPr>
              <w:t>建议首先应对车间进行合理布局，对压片机等机房采取隔音、吸音措次，对中央吸尘器等高噪声设备应采取必要的隔声、吸声、减震等措施（如安装减震垫等）；最后，对生产车间采用双层隔声门窗处理，且应严格控制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75" w:type="dxa"/>
          <w:trHeight w:val="14054" w:hRule="exact"/>
          <w:jc w:val="center"/>
        </w:trPr>
        <w:tc>
          <w:tcPr>
            <w:tcW w:w="1884" w:type="dxa"/>
            <w:gridSpan w:val="4"/>
            <w:vAlign w:val="center"/>
          </w:tcPr>
          <w:p>
            <w:pPr>
              <w:autoSpaceDE w:val="0"/>
              <w:autoSpaceDN w:val="0"/>
              <w:spacing w:before="1" w:line="312" w:lineRule="exact"/>
              <w:ind w:left="523" w:right="386" w:hanging="120"/>
              <w:jc w:val="center"/>
              <w:rPr>
                <w:kern w:val="0"/>
                <w:sz w:val="24"/>
                <w:szCs w:val="22"/>
                <w:lang w:eastAsia="en-US"/>
              </w:rPr>
            </w:pPr>
            <w:r>
              <w:rPr>
                <w:kern w:val="0"/>
                <w:sz w:val="24"/>
                <w:szCs w:val="22"/>
                <w:lang w:eastAsia="en-US"/>
              </w:rPr>
              <w:t>环评结论和建议</w:t>
            </w:r>
          </w:p>
        </w:tc>
        <w:tc>
          <w:tcPr>
            <w:tcW w:w="7654" w:type="dxa"/>
          </w:tcPr>
          <w:p>
            <w:pPr>
              <w:spacing w:line="360" w:lineRule="auto"/>
              <w:rPr>
                <w:rFonts w:ascii="宋体" w:hAnsi="宋体"/>
                <w:sz w:val="24"/>
              </w:rPr>
            </w:pPr>
            <w:r>
              <w:rPr>
                <w:rFonts w:hint="eastAsia" w:ascii="宋体" w:hAnsi="宋体"/>
                <w:sz w:val="24"/>
              </w:rPr>
              <w:t xml:space="preserve">制作业时间，夜间（22：00～6：00）不得生产。项目车间噪声通过墙体隔声、距离衰减（标准厂房噪声经墙体隔声、距离衰减可降低23～30dB(A)，参考文献：《噪声污染控制工程》（高等教育出版社，洪宗辉）中的资料，厂界噪声可达到《工业企业厂界环境噪声排放标准》(GB12348-2008)中的3类标准（昼间65dB(A)，夜间55dB(A)）要求。 </w:t>
            </w:r>
          </w:p>
          <w:p>
            <w:pPr>
              <w:widowControl/>
              <w:tabs>
                <w:tab w:val="center" w:pos="4538"/>
              </w:tabs>
              <w:spacing w:line="360" w:lineRule="auto"/>
              <w:ind w:firstLine="354" w:firstLineChars="147"/>
              <w:rPr>
                <w:rFonts w:ascii="宋体" w:hAnsi="宋体"/>
                <w:b/>
                <w:sz w:val="24"/>
              </w:rPr>
            </w:pPr>
            <w:r>
              <w:rPr>
                <w:rFonts w:hint="eastAsia" w:ascii="宋体" w:hAnsi="宋体"/>
                <w:b/>
                <w:sz w:val="24"/>
              </w:rPr>
              <w:t>固体污染物</w:t>
            </w:r>
          </w:p>
          <w:p>
            <w:pPr>
              <w:spacing w:line="360" w:lineRule="auto"/>
              <w:ind w:firstLine="482" w:firstLineChars="200"/>
              <w:rPr>
                <w:rFonts w:ascii="宋体" w:hAnsi="宋体"/>
                <w:b/>
                <w:sz w:val="24"/>
              </w:rPr>
            </w:pPr>
            <w:r>
              <w:rPr>
                <w:rFonts w:hint="eastAsia" w:ascii="宋体" w:hAnsi="宋体"/>
                <w:b/>
                <w:sz w:val="24"/>
              </w:rPr>
              <w:t xml:space="preserve">（1）生活垃圾： </w:t>
            </w:r>
          </w:p>
          <w:p>
            <w:pPr>
              <w:spacing w:line="360" w:lineRule="auto"/>
              <w:ind w:firstLine="480" w:firstLineChars="200"/>
              <w:rPr>
                <w:rFonts w:ascii="宋体" w:hAnsi="宋体"/>
                <w:sz w:val="24"/>
              </w:rPr>
            </w:pPr>
            <w:r>
              <w:rPr>
                <w:rFonts w:hint="eastAsia" w:ascii="宋体" w:hAnsi="宋体"/>
                <w:sz w:val="24"/>
              </w:rPr>
              <w:t xml:space="preserve">项目员工45人，按每人每天产生生活垃圾1公斤计算，日产生活垃圾约45公斤。生活垃圾属于一般固体废物，只要做到避雨集中堆放、交由环境卫生部门运往垃圾处理场进行无害化处理，对周围环境的影响可以接受。 </w:t>
            </w:r>
          </w:p>
          <w:p>
            <w:pPr>
              <w:spacing w:line="360" w:lineRule="auto"/>
              <w:ind w:firstLine="482" w:firstLineChars="200"/>
              <w:rPr>
                <w:rFonts w:ascii="宋体" w:hAnsi="宋体"/>
                <w:b/>
                <w:sz w:val="24"/>
              </w:rPr>
            </w:pPr>
            <w:r>
              <w:rPr>
                <w:rFonts w:hint="eastAsia" w:ascii="宋体" w:hAnsi="宋体"/>
                <w:b/>
                <w:sz w:val="24"/>
              </w:rPr>
              <w:t xml:space="preserve">（2）一般工业固体废物： </w:t>
            </w:r>
          </w:p>
          <w:p>
            <w:pPr>
              <w:spacing w:line="360" w:lineRule="auto"/>
              <w:ind w:firstLine="480" w:firstLineChars="200"/>
              <w:rPr>
                <w:rFonts w:ascii="宋体" w:hAnsi="宋体"/>
                <w:sz w:val="24"/>
              </w:rPr>
            </w:pPr>
            <w:r>
              <w:rPr>
                <w:rFonts w:hint="eastAsia" w:ascii="宋体" w:hAnsi="宋体"/>
                <w:sz w:val="24"/>
              </w:rPr>
              <w:t xml:space="preserve">项目产生的一般工业固体废物主要是废包装材料、废贵金属屑；打磨抛光过程经吸尘器收集的贵金属碎屑，以及生产过程产生的包装废料1.5t/a。上述废物属于资源性废物，收集后交生产资料回收部门回收再生使用，对周围影响不大。 </w:t>
            </w:r>
          </w:p>
          <w:p>
            <w:pPr>
              <w:spacing w:line="360" w:lineRule="auto"/>
              <w:ind w:firstLine="482" w:firstLineChars="200"/>
              <w:rPr>
                <w:rFonts w:ascii="宋体" w:hAnsi="宋体"/>
                <w:sz w:val="24"/>
              </w:rPr>
            </w:pPr>
            <w:r>
              <w:rPr>
                <w:rFonts w:hint="eastAsia" w:ascii="宋体" w:hAnsi="宋体"/>
                <w:b/>
                <w:sz w:val="24"/>
              </w:rPr>
              <w:t>（3）危险废物</w:t>
            </w:r>
            <w:r>
              <w:rPr>
                <w:rFonts w:hint="eastAsia"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 xml:space="preserve">危险废物为主要是电金试剂废液，产生量约0.1t/a。该项目已与深圳市宝安区工业废物处理站有限公司签订《工商业废物处理协议》项目设有专用的废液收集桶，将试剂废液集中收集后，定期交深圳市宝安区工业废物处理站统一回收处理。 </w:t>
            </w:r>
          </w:p>
          <w:p>
            <w:pPr>
              <w:widowControl/>
              <w:tabs>
                <w:tab w:val="center" w:pos="4538"/>
              </w:tabs>
              <w:spacing w:line="360" w:lineRule="auto"/>
              <w:ind w:firstLine="354" w:firstLineChars="147"/>
              <w:rPr>
                <w:rFonts w:ascii="宋体" w:hAnsi="宋体"/>
                <w:b/>
                <w:sz w:val="24"/>
              </w:rPr>
            </w:pPr>
            <w:r>
              <w:rPr>
                <w:rFonts w:hint="eastAsia" w:ascii="宋体" w:hAnsi="宋体"/>
                <w:b/>
                <w:sz w:val="24"/>
              </w:rPr>
              <w:t>环境风险分析</w:t>
            </w:r>
          </w:p>
          <w:p>
            <w:pPr>
              <w:widowControl/>
              <w:tabs>
                <w:tab w:val="center" w:pos="4538"/>
              </w:tabs>
              <w:spacing w:line="360" w:lineRule="auto"/>
              <w:ind w:firstLine="353" w:firstLineChars="147"/>
              <w:rPr>
                <w:rFonts w:ascii="宋体" w:hAnsi="宋体"/>
                <w:b/>
                <w:sz w:val="24"/>
              </w:rPr>
            </w:pPr>
            <w:r>
              <w:rPr>
                <w:rFonts w:hint="eastAsia" w:ascii="宋体" w:hAnsi="宋体"/>
                <w:sz w:val="24"/>
              </w:rPr>
              <w:t>对照国家标准《危险化学品重大危险源辨识》（GB18218-2009），本项目使用的原辅材料中没有表列的爆炸性物质、易燃物质、活性化学物质和有毒物质。</w:t>
            </w:r>
          </w:p>
          <w:p>
            <w:pPr>
              <w:widowControl/>
              <w:tabs>
                <w:tab w:val="center" w:pos="4538"/>
              </w:tabs>
              <w:spacing w:line="360" w:lineRule="auto"/>
              <w:ind w:firstLine="354" w:firstLineChars="147"/>
              <w:rPr>
                <w:rFonts w:ascii="宋体" w:hAnsi="宋体"/>
                <w:b/>
                <w:sz w:val="24"/>
              </w:rPr>
            </w:pPr>
            <w:r>
              <w:rPr>
                <w:rFonts w:hint="eastAsia" w:ascii="宋体" w:hAnsi="宋体"/>
                <w:b/>
                <w:sz w:val="24"/>
              </w:rPr>
              <w:t>3.循环经济及清洁生产</w:t>
            </w:r>
          </w:p>
          <w:p>
            <w:pPr>
              <w:spacing w:line="360" w:lineRule="auto"/>
              <w:ind w:firstLine="480" w:firstLineChars="200"/>
              <w:rPr>
                <w:kern w:val="0"/>
                <w:sz w:val="24"/>
                <w:szCs w:val="22"/>
              </w:rPr>
            </w:pPr>
            <w:r>
              <w:rPr>
                <w:rFonts w:hint="eastAsia" w:ascii="宋体" w:hAnsi="宋体"/>
                <w:sz w:val="24"/>
              </w:rPr>
              <w:t>本项目应加强企业日常管理，提高原材料的利用率，尽量做到废物的回收再利用，促进循环经济的发展，以此减轻环境的污染负荷。 循环经济指标：本项目不使用行业禁止使用的原料，项目单位工业产值COD排放量为Ⅰ级，单位工业产值SO</w:t>
            </w:r>
            <w:r>
              <w:rPr>
                <w:rFonts w:hint="eastAsia" w:ascii="宋体" w:hAnsi="宋体"/>
                <w:sz w:val="24"/>
                <w:vertAlign w:val="subscript"/>
              </w:rPr>
              <w:t>2</w:t>
            </w:r>
            <w:r>
              <w:rPr>
                <w:rFonts w:hint="eastAsia" w:ascii="宋体" w:hAnsi="宋体"/>
                <w:sz w:val="24"/>
              </w:rPr>
              <w:t>排放量为Ⅰ级，工业固体废物综合利用率、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gridAfter w:val="1"/>
          <w:wAfter w:w="75" w:type="dxa"/>
          <w:trHeight w:val="13912" w:hRule="exact"/>
          <w:jc w:val="center"/>
        </w:trPr>
        <w:tc>
          <w:tcPr>
            <w:tcW w:w="1884" w:type="dxa"/>
            <w:gridSpan w:val="4"/>
            <w:vAlign w:val="center"/>
          </w:tcPr>
          <w:p>
            <w:pPr>
              <w:autoSpaceDE w:val="0"/>
              <w:autoSpaceDN w:val="0"/>
              <w:spacing w:before="1" w:line="312" w:lineRule="exact"/>
              <w:ind w:left="523" w:right="386" w:hanging="120"/>
              <w:jc w:val="center"/>
              <w:rPr>
                <w:kern w:val="0"/>
                <w:sz w:val="24"/>
                <w:szCs w:val="22"/>
                <w:lang w:eastAsia="en-US"/>
              </w:rPr>
            </w:pPr>
            <w:r>
              <w:rPr>
                <w:kern w:val="0"/>
                <w:sz w:val="24"/>
                <w:szCs w:val="22"/>
                <w:lang w:eastAsia="en-US"/>
              </w:rPr>
              <w:t>环评结论和建议</w:t>
            </w:r>
          </w:p>
        </w:tc>
        <w:tc>
          <w:tcPr>
            <w:tcW w:w="7654" w:type="dxa"/>
          </w:tcPr>
          <w:p>
            <w:pPr>
              <w:spacing w:line="360" w:lineRule="auto"/>
              <w:rPr>
                <w:rFonts w:ascii="宋体" w:hAnsi="宋体"/>
                <w:sz w:val="24"/>
              </w:rPr>
            </w:pPr>
            <w:r>
              <w:rPr>
                <w:rFonts w:hint="eastAsia" w:ascii="宋体" w:hAnsi="宋体"/>
                <w:sz w:val="24"/>
              </w:rPr>
              <w:t xml:space="preserve">危险废物处理率为Ⅰ级，项目总体循环经济水平为Ⅰ级，达到循环经济先进水平。 </w:t>
            </w:r>
          </w:p>
          <w:p>
            <w:pPr>
              <w:widowControl/>
              <w:tabs>
                <w:tab w:val="center" w:pos="4538"/>
              </w:tabs>
              <w:spacing w:line="360" w:lineRule="auto"/>
              <w:ind w:firstLine="354" w:firstLineChars="147"/>
              <w:rPr>
                <w:rFonts w:ascii="宋体" w:hAnsi="宋体"/>
                <w:b/>
                <w:sz w:val="24"/>
              </w:rPr>
            </w:pPr>
            <w:r>
              <w:rPr>
                <w:rFonts w:hint="eastAsia" w:ascii="宋体" w:hAnsi="宋体"/>
                <w:b/>
                <w:sz w:val="24"/>
              </w:rPr>
              <w:t>4. 环保验收内容</w:t>
            </w:r>
          </w:p>
          <w:p>
            <w:pPr>
              <w:spacing w:line="360" w:lineRule="auto"/>
              <w:ind w:firstLine="482" w:firstLineChars="200"/>
              <w:rPr>
                <w:rFonts w:ascii="宋体" w:hAnsi="宋体"/>
                <w:sz w:val="24"/>
              </w:rPr>
            </w:pPr>
            <w:r>
              <w:rPr>
                <w:rFonts w:hint="eastAsia" w:ascii="宋体" w:hAnsi="宋体"/>
                <w:b/>
                <w:sz w:val="24"/>
              </w:rPr>
              <w:t>（1）废水</w:t>
            </w:r>
            <w:r>
              <w:rPr>
                <w:rFonts w:hint="eastAsia" w:ascii="宋体" w:hAnsi="宋体"/>
                <w:sz w:val="24"/>
              </w:rPr>
              <w:t xml:space="preserve">：电金试剂废液是否委托有资质单位统一处理。 </w:t>
            </w:r>
          </w:p>
          <w:p>
            <w:pPr>
              <w:spacing w:line="360" w:lineRule="auto"/>
              <w:ind w:firstLine="482" w:firstLineChars="200"/>
              <w:rPr>
                <w:rFonts w:ascii="宋体" w:hAnsi="宋体"/>
                <w:sz w:val="24"/>
              </w:rPr>
            </w:pPr>
            <w:r>
              <w:rPr>
                <w:rFonts w:hint="eastAsia" w:ascii="宋体" w:hAnsi="宋体"/>
                <w:b/>
                <w:sz w:val="24"/>
              </w:rPr>
              <w:t>（2）废气</w:t>
            </w:r>
            <w:r>
              <w:rPr>
                <w:rFonts w:hint="eastAsia" w:ascii="宋体" w:hAnsi="宋体"/>
                <w:sz w:val="24"/>
              </w:rPr>
              <w:t xml:space="preserve">：是否在电金工位安装局部抽风装置并进一步利用鼓泡废气净化设备处理废气后排放；打磨废气是否设置粉尘收集系统净化处理后排放；废气是否达标排放。 </w:t>
            </w:r>
          </w:p>
          <w:p>
            <w:pPr>
              <w:spacing w:line="360" w:lineRule="auto"/>
              <w:ind w:firstLine="482" w:firstLineChars="200"/>
              <w:rPr>
                <w:rFonts w:ascii="宋体" w:hAnsi="宋体"/>
                <w:sz w:val="24"/>
              </w:rPr>
            </w:pPr>
            <w:r>
              <w:rPr>
                <w:rFonts w:hint="eastAsia" w:ascii="宋体" w:hAnsi="宋体"/>
                <w:b/>
                <w:sz w:val="24"/>
              </w:rPr>
              <w:t>（3）噪声</w:t>
            </w:r>
            <w:r>
              <w:rPr>
                <w:rFonts w:hint="eastAsia" w:ascii="宋体" w:hAnsi="宋体"/>
                <w:sz w:val="24"/>
              </w:rPr>
              <w:t xml:space="preserve">：高噪声设备是否进行必要的降噪、减震、消声等措施；是否设立单独的封闭车间等；厂界噪声是否达标。 </w:t>
            </w:r>
          </w:p>
          <w:p>
            <w:pPr>
              <w:widowControl/>
              <w:tabs>
                <w:tab w:val="center" w:pos="4538"/>
              </w:tabs>
              <w:spacing w:line="360" w:lineRule="auto"/>
              <w:ind w:firstLine="593" w:firstLineChars="246"/>
              <w:rPr>
                <w:rFonts w:ascii="宋体" w:hAnsi="宋体"/>
                <w:b/>
                <w:sz w:val="24"/>
              </w:rPr>
            </w:pPr>
            <w:r>
              <w:rPr>
                <w:rFonts w:hint="eastAsia" w:ascii="宋体" w:hAnsi="宋体"/>
                <w:b/>
                <w:sz w:val="24"/>
              </w:rPr>
              <w:t>（4）固废</w:t>
            </w:r>
            <w:r>
              <w:rPr>
                <w:rFonts w:hint="eastAsia" w:ascii="宋体" w:hAnsi="宋体"/>
                <w:sz w:val="24"/>
              </w:rPr>
              <w:t>：生活垃圾是否由环境卫生部门运往垃圾处理场进行无害化处理；打磨、抛光后的贵金属碎屑以及生产过程产生的包装材料，是否经分类收集后交相应生产资料回收部门回收；电金试剂废液是否集中收集后委托有资质的单位处置。</w:t>
            </w:r>
          </w:p>
          <w:p>
            <w:pPr>
              <w:widowControl/>
              <w:tabs>
                <w:tab w:val="center" w:pos="4538"/>
              </w:tabs>
              <w:spacing w:line="360" w:lineRule="auto"/>
              <w:ind w:firstLine="354" w:firstLineChars="147"/>
              <w:rPr>
                <w:rFonts w:ascii="宋体" w:hAnsi="宋体"/>
                <w:b/>
                <w:sz w:val="24"/>
              </w:rPr>
            </w:pPr>
            <w:r>
              <w:rPr>
                <w:rFonts w:hint="eastAsia" w:ascii="宋体" w:hAnsi="宋体"/>
                <w:b/>
                <w:sz w:val="24"/>
              </w:rPr>
              <w:t>5.总量控制指标</w:t>
            </w:r>
          </w:p>
          <w:p>
            <w:pPr>
              <w:widowControl/>
              <w:tabs>
                <w:tab w:val="center" w:pos="4538"/>
              </w:tabs>
              <w:spacing w:line="360" w:lineRule="auto"/>
              <w:ind w:firstLine="353" w:firstLineChars="147"/>
              <w:rPr>
                <w:rFonts w:ascii="宋体" w:hAnsi="宋体"/>
                <w:b/>
                <w:sz w:val="24"/>
              </w:rPr>
            </w:pPr>
            <w:r>
              <w:rPr>
                <w:rFonts w:hint="eastAsia" w:ascii="宋体" w:hAnsi="宋体"/>
                <w:sz w:val="24"/>
              </w:rPr>
              <w:t>项目无SO</w:t>
            </w:r>
            <w:r>
              <w:rPr>
                <w:rFonts w:hint="eastAsia" w:ascii="宋体" w:hAnsi="宋体"/>
                <w:sz w:val="24"/>
                <w:vertAlign w:val="subscript"/>
              </w:rPr>
              <w:t>2</w:t>
            </w:r>
            <w:r>
              <w:rPr>
                <w:rFonts w:hint="eastAsia" w:ascii="宋体" w:hAnsi="宋体"/>
                <w:sz w:val="24"/>
              </w:rPr>
              <w:t>废气排放，生产废水收集后交由有法定资质的单位回收处理不外排，生活污水进入盐田污水处理厂进行深度处理，不计算总量控制指标。</w:t>
            </w:r>
          </w:p>
          <w:p>
            <w:pPr>
              <w:widowControl/>
              <w:tabs>
                <w:tab w:val="center" w:pos="4538"/>
              </w:tabs>
              <w:spacing w:line="360" w:lineRule="auto"/>
              <w:ind w:firstLine="354" w:firstLineChars="147"/>
              <w:rPr>
                <w:rFonts w:ascii="宋体" w:hAnsi="宋体"/>
                <w:b/>
                <w:sz w:val="24"/>
              </w:rPr>
            </w:pPr>
            <w:r>
              <w:rPr>
                <w:rFonts w:hint="eastAsia" w:ascii="宋体" w:hAnsi="宋体"/>
                <w:b/>
                <w:sz w:val="24"/>
              </w:rPr>
              <w:t>6. 项目选址与相关政策的符合性</w:t>
            </w:r>
          </w:p>
          <w:p>
            <w:pPr>
              <w:spacing w:line="360" w:lineRule="auto"/>
              <w:rPr>
                <w:rFonts w:ascii="宋体" w:hAnsi="宋体"/>
                <w:sz w:val="24"/>
              </w:rPr>
            </w:pPr>
            <w:r>
              <w:rPr>
                <w:rFonts w:hint="eastAsia" w:ascii="宋体" w:hAnsi="宋体"/>
                <w:sz w:val="24"/>
              </w:rPr>
              <w:t xml:space="preserve">（1）产业政策符合性分析 </w:t>
            </w:r>
          </w:p>
          <w:p>
            <w:pPr>
              <w:spacing w:line="360" w:lineRule="auto"/>
              <w:ind w:firstLine="480" w:firstLineChars="200"/>
              <w:rPr>
                <w:rFonts w:ascii="宋体" w:hAnsi="宋体"/>
                <w:sz w:val="24"/>
              </w:rPr>
            </w:pPr>
            <w:r>
              <w:rPr>
                <w:rFonts w:hint="eastAsia" w:ascii="宋体" w:hAnsi="宋体"/>
                <w:sz w:val="24"/>
              </w:rPr>
              <w:t xml:space="preserve">根据企业申报，项目产品及工艺不属于《产业结构调整指导目录(2011年本)》和《深圳市产业结构调整优化和产业导向目录(2009年修订)》中的限制类和淘汰类的项目，属于允许类项目，与产业政策不冲突。 </w:t>
            </w:r>
          </w:p>
          <w:p>
            <w:pPr>
              <w:spacing w:line="360" w:lineRule="auto"/>
              <w:rPr>
                <w:rFonts w:ascii="宋体" w:hAnsi="宋体"/>
                <w:sz w:val="24"/>
              </w:rPr>
            </w:pPr>
            <w:r>
              <w:rPr>
                <w:rFonts w:hint="eastAsia" w:ascii="宋体" w:hAnsi="宋体"/>
                <w:sz w:val="24"/>
              </w:rPr>
              <w:t xml:space="preserve">2）选址合理性分析 </w:t>
            </w:r>
          </w:p>
          <w:p>
            <w:pPr>
              <w:spacing w:line="360" w:lineRule="auto"/>
              <w:ind w:firstLine="480" w:firstLineChars="200"/>
              <w:rPr>
                <w:rFonts w:ascii="宋体" w:hAnsi="宋体"/>
                <w:sz w:val="24"/>
              </w:rPr>
            </w:pPr>
            <w:r>
              <w:rPr>
                <w:rFonts w:hint="eastAsia" w:ascii="宋体" w:hAnsi="宋体"/>
                <w:sz w:val="24"/>
              </w:rPr>
              <w:t>项目选址的地理坐标：N：22゜32ˊ；E：114゜13ˊ。</w:t>
            </w:r>
          </w:p>
          <w:p>
            <w:pPr>
              <w:spacing w:line="360" w:lineRule="auto"/>
              <w:ind w:firstLine="480" w:firstLineChars="200"/>
              <w:rPr>
                <w:rFonts w:ascii="宋体" w:hAnsi="宋体"/>
                <w:sz w:val="24"/>
              </w:rPr>
            </w:pPr>
            <w:r>
              <w:rPr>
                <w:rFonts w:hint="eastAsia" w:ascii="宋体" w:hAnsi="宋体"/>
                <w:sz w:val="24"/>
              </w:rPr>
              <w:t>根据《关于调整深圳市生活饮用水地表水源保护区的通知》（深府[2006]227号），项目地处非水源保护区，项目运营过程中产生的生活污水排入市政污水管网，最终进入盐田污水处理厂处理，符合《深圳经济特区饮用水源保护条例》的规定。</w:t>
            </w:r>
          </w:p>
          <w:p>
            <w:pPr>
              <w:spacing w:line="360" w:lineRule="auto"/>
              <w:ind w:firstLine="480" w:firstLineChars="200"/>
              <w:rPr>
                <w:rFonts w:ascii="宋体" w:hAnsi="宋体"/>
                <w:sz w:val="24"/>
              </w:rPr>
            </w:pPr>
            <w:r>
              <w:rPr>
                <w:rFonts w:hint="eastAsia" w:ascii="宋体" w:hAnsi="宋体"/>
                <w:sz w:val="24"/>
              </w:rPr>
              <w:t>根据《关于颁布深圳市环境空气质量功能区划的通知》（深府[2008]98号），该项目所在区域属于二类环境空气质量功能区。</w:t>
            </w:r>
          </w:p>
          <w:p>
            <w:pPr>
              <w:spacing w:line="360" w:lineRule="auto"/>
              <w:ind w:firstLine="480" w:firstLineChars="200"/>
              <w:rPr>
                <w:rFonts w:ascii="宋体" w:hAnsi="宋体"/>
                <w:sz w:val="24"/>
              </w:rPr>
            </w:pPr>
          </w:p>
          <w:p>
            <w:pPr>
              <w:spacing w:line="360" w:lineRule="auto"/>
              <w:ind w:firstLine="480" w:firstLineChars="200"/>
              <w:rPr>
                <w:kern w:val="0"/>
                <w:sz w:val="24"/>
                <w:szCs w:val="22"/>
              </w:rPr>
            </w:pPr>
          </w:p>
        </w:tc>
      </w:tr>
      <w:tr>
        <w:tblPrEx>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Ex>
        <w:trPr>
          <w:gridBefore w:val="1"/>
          <w:wBefore w:w="12" w:type="dxa"/>
          <w:trHeight w:val="13872" w:hRule="atLeast"/>
          <w:jc w:val="center"/>
        </w:trPr>
        <w:tc>
          <w:tcPr>
            <w:tcW w:w="1805" w:type="dxa"/>
            <w:gridSpan w:val="2"/>
            <w:tcBorders>
              <w:top w:val="single" w:color="auto" w:sz="4" w:space="0"/>
              <w:right w:val="single" w:color="auto" w:sz="4" w:space="0"/>
            </w:tcBorders>
            <w:vAlign w:val="center"/>
          </w:tcPr>
          <w:p>
            <w:pPr>
              <w:autoSpaceDE w:val="0"/>
              <w:autoSpaceDN w:val="0"/>
              <w:spacing w:line="360" w:lineRule="auto"/>
              <w:jc w:val="center"/>
              <w:rPr>
                <w:kern w:val="0"/>
                <w:sz w:val="24"/>
                <w:szCs w:val="22"/>
              </w:rPr>
            </w:pPr>
            <w:r>
              <w:rPr>
                <w:kern w:val="0"/>
                <w:sz w:val="24"/>
                <w:szCs w:val="22"/>
                <w:lang w:eastAsia="en-US"/>
              </w:rPr>
              <w:t>环评结论</w:t>
            </w:r>
          </w:p>
          <w:p>
            <w:pPr>
              <w:autoSpaceDE w:val="0"/>
              <w:autoSpaceDN w:val="0"/>
              <w:spacing w:line="360" w:lineRule="auto"/>
              <w:jc w:val="center"/>
              <w:rPr>
                <w:b/>
                <w:kern w:val="0"/>
                <w:sz w:val="24"/>
                <w:szCs w:val="22"/>
              </w:rPr>
            </w:pPr>
            <w:r>
              <w:rPr>
                <w:kern w:val="0"/>
                <w:sz w:val="24"/>
                <w:szCs w:val="22"/>
                <w:lang w:eastAsia="en-US"/>
              </w:rPr>
              <w:t>和建议</w:t>
            </w:r>
          </w:p>
        </w:tc>
        <w:tc>
          <w:tcPr>
            <w:tcW w:w="7796" w:type="dxa"/>
            <w:gridSpan w:val="3"/>
            <w:tcBorders>
              <w:top w:val="single" w:color="auto" w:sz="4" w:space="0"/>
              <w:left w:val="single" w:color="auto" w:sz="4" w:space="0"/>
            </w:tcBorders>
          </w:tcPr>
          <w:p>
            <w:pPr>
              <w:spacing w:line="360" w:lineRule="auto"/>
              <w:ind w:firstLine="480" w:firstLineChars="200"/>
              <w:rPr>
                <w:rFonts w:ascii="宋体" w:hAnsi="宋体"/>
                <w:sz w:val="24"/>
              </w:rPr>
            </w:pPr>
            <w:r>
              <w:rPr>
                <w:rFonts w:hint="eastAsia" w:ascii="宋体" w:hAnsi="宋体"/>
                <w:sz w:val="24"/>
              </w:rPr>
              <w:t xml:space="preserve">根据深圳市《关于调整深圳市城市区域环境噪声标准适用区域划分的通知》（深府[2008]99号），该项目所在区域属于3类噪声标准适用区。 </w:t>
            </w:r>
          </w:p>
          <w:p>
            <w:pPr>
              <w:spacing w:line="360" w:lineRule="auto"/>
              <w:ind w:firstLine="480" w:firstLineChars="200"/>
              <w:rPr>
                <w:rFonts w:ascii="宋体" w:hAnsi="宋体"/>
                <w:sz w:val="24"/>
              </w:rPr>
            </w:pPr>
            <w:r>
              <w:rPr>
                <w:rFonts w:hint="eastAsia" w:ascii="宋体" w:hAnsi="宋体"/>
                <w:sz w:val="24"/>
              </w:rPr>
              <w:t xml:space="preserve">根据《深圳市基本生态控制线范围图》，项目选址不属于深圳市基本生态控制线范围内，符合《深圳市基本生态控制线管理规定》。 </w:t>
            </w:r>
          </w:p>
          <w:p>
            <w:pPr>
              <w:widowControl/>
              <w:tabs>
                <w:tab w:val="center" w:pos="4538"/>
              </w:tabs>
              <w:spacing w:line="360" w:lineRule="auto"/>
              <w:ind w:firstLine="353" w:firstLineChars="147"/>
              <w:rPr>
                <w:rFonts w:ascii="宋体" w:hAnsi="宋体"/>
                <w:b/>
                <w:sz w:val="24"/>
              </w:rPr>
            </w:pPr>
            <w:r>
              <w:rPr>
                <w:rFonts w:hint="eastAsia" w:ascii="宋体" w:hAnsi="宋体"/>
                <w:sz w:val="24"/>
              </w:rPr>
              <w:t>根据《深圳市盐田区分区规划土地利用规划图（1998-2010）》，项目选址属一类工业用地，本项目选址与城市规划相符。</w:t>
            </w:r>
          </w:p>
          <w:p>
            <w:pPr>
              <w:widowControl/>
              <w:tabs>
                <w:tab w:val="center" w:pos="4538"/>
              </w:tabs>
              <w:spacing w:line="360" w:lineRule="auto"/>
              <w:ind w:firstLine="354" w:firstLineChars="147"/>
              <w:rPr>
                <w:rFonts w:ascii="宋体" w:hAnsi="宋体"/>
                <w:b/>
                <w:sz w:val="24"/>
              </w:rPr>
            </w:pPr>
            <w:r>
              <w:rPr>
                <w:rFonts w:hint="eastAsia" w:ascii="宋体" w:hAnsi="宋体"/>
                <w:b/>
                <w:sz w:val="24"/>
              </w:rPr>
              <w:t>7.结论</w:t>
            </w:r>
          </w:p>
          <w:p>
            <w:pPr>
              <w:spacing w:line="360" w:lineRule="auto"/>
              <w:ind w:firstLine="480" w:firstLineChars="200"/>
              <w:rPr>
                <w:rFonts w:ascii="宋体" w:hAnsi="宋体"/>
                <w:sz w:val="24"/>
              </w:rPr>
            </w:pPr>
            <w:r>
              <w:rPr>
                <w:rFonts w:hint="eastAsia" w:ascii="宋体" w:hAnsi="宋体"/>
                <w:sz w:val="24"/>
              </w:rPr>
              <w:t>综上所述，金万龙珠宝首饰（深圳）有限公司建设项目，若能采取和实施本报告提出的环境保护措施和建议，并对上述污染物进行了有效治理，达标排放，则该项目的选址从环境保护角度来分析是可行的。</w:t>
            </w:r>
          </w:p>
        </w:tc>
      </w:tr>
    </w:tbl>
    <w:p>
      <w:pPr>
        <w:autoSpaceDE w:val="0"/>
        <w:autoSpaceDN w:val="0"/>
        <w:spacing w:line="360" w:lineRule="auto"/>
        <w:jc w:val="left"/>
        <w:rPr>
          <w:b/>
          <w:kern w:val="0"/>
          <w:sz w:val="28"/>
          <w:szCs w:val="22"/>
        </w:rPr>
      </w:pPr>
      <w:r>
        <w:rPr>
          <w:b/>
          <w:kern w:val="0"/>
          <w:sz w:val="28"/>
          <w:szCs w:val="22"/>
        </w:rPr>
        <w:t>表二</w:t>
      </w:r>
    </w:p>
    <w:tbl>
      <w:tblPr>
        <w:tblStyle w:val="2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79" w:hRule="atLeast"/>
        </w:trPr>
        <w:tc>
          <w:tcPr>
            <w:tcW w:w="9639" w:type="dxa"/>
          </w:tcPr>
          <w:p>
            <w:pPr>
              <w:spacing w:before="120" w:beforeLines="50" w:after="120" w:afterLines="50" w:line="360" w:lineRule="auto"/>
              <w:ind w:firstLine="118" w:firstLineChars="49"/>
              <w:rPr>
                <w:rFonts w:ascii="宋体" w:hAnsi="宋体"/>
                <w:b/>
                <w:szCs w:val="21"/>
              </w:rPr>
            </w:pPr>
            <w:r>
              <w:rPr>
                <w:rFonts w:hint="eastAsia" w:ascii="宋体" w:hAnsi="宋体"/>
                <w:b/>
                <w:sz w:val="24"/>
              </w:rPr>
              <w:t>工艺流程简述（图示） (污染物标识 废水:△,废气:○,噪声:＊,固废: □) ：</w:t>
            </w:r>
          </w:p>
          <w:p>
            <w:pPr>
              <w:spacing w:line="360" w:lineRule="auto"/>
              <w:ind w:firstLine="354" w:firstLineChars="147"/>
              <w:rPr>
                <w:rFonts w:ascii="宋体" w:hAnsi="宋体"/>
                <w:b/>
                <w:sz w:val="24"/>
              </w:rPr>
            </w:pPr>
            <w:r>
              <w:rPr>
                <w:rFonts w:hint="eastAsia" w:ascii="宋体" w:hAnsi="宋体"/>
                <w:b/>
                <w:sz w:val="24"/>
              </w:rPr>
              <w:t>项目首饰的生产工艺:</w:t>
            </w:r>
          </w:p>
          <w:p>
            <w:pPr>
              <w:pStyle w:val="21"/>
              <w:adjustRightInd w:val="0"/>
              <w:snapToGrid w:val="0"/>
              <w:spacing w:line="360" w:lineRule="auto"/>
              <w:ind w:firstLine="482"/>
              <w:rPr>
                <w:sz w:val="24"/>
                <w:szCs w:val="24"/>
              </w:rPr>
            </w:pPr>
            <w:r>
              <w:rPr>
                <w:rFonts w:hint="eastAsia"/>
                <w:sz w:val="24"/>
                <w:szCs w:val="24"/>
              </w:rPr>
              <w:t>该项目</w:t>
            </w:r>
            <w:r>
              <w:rPr>
                <w:rFonts w:hint="eastAsia"/>
                <w:sz w:val="24"/>
              </w:rPr>
              <w:t>主要从事黄金、铂金、钯金、K金、白银、翡翠、钻石、宝石、等珠宝首饰和工艺品的生产加工</w:t>
            </w:r>
            <w:r>
              <w:rPr>
                <w:rFonts w:hint="eastAsia"/>
                <w:sz w:val="24"/>
                <w:szCs w:val="24"/>
              </w:rPr>
              <w:t>，生产环节不含提纯、除油、镀金等工序。</w:t>
            </w:r>
          </w:p>
          <w:p>
            <w:pPr>
              <w:spacing w:line="360" w:lineRule="auto"/>
              <w:ind w:firstLine="354" w:firstLineChars="147"/>
              <w:rPr>
                <w:rFonts w:ascii="宋体" w:hAnsi="宋体"/>
                <w:b/>
                <w:sz w:val="24"/>
              </w:rPr>
            </w:pPr>
            <w:r>
              <w:rPr>
                <w:rFonts w:ascii="宋体" w:hAnsi="宋体"/>
                <w:b/>
                <w:sz w:val="24"/>
              </w:rPr>
              <w:drawing>
                <wp:inline distT="0" distB="0" distL="0" distR="0">
                  <wp:extent cx="5343525" cy="1495425"/>
                  <wp:effectExtent l="19050" t="0" r="9525" b="0"/>
                  <wp:docPr id="17" name="图片 16" descr="QQ截图2017052515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QQ截图20170525153607.png"/>
                          <pic:cNvPicPr>
                            <a:picLocks noChangeAspect="1"/>
                          </pic:cNvPicPr>
                        </pic:nvPicPr>
                        <pic:blipFill>
                          <a:blip r:embed="rId10"/>
                          <a:stretch>
                            <a:fillRect/>
                          </a:stretch>
                        </pic:blipFill>
                        <pic:spPr>
                          <a:xfrm>
                            <a:off x="0" y="0"/>
                            <a:ext cx="5343525" cy="1495425"/>
                          </a:xfrm>
                          <a:prstGeom prst="rect">
                            <a:avLst/>
                          </a:prstGeom>
                        </pic:spPr>
                      </pic:pic>
                    </a:graphicData>
                  </a:graphic>
                </wp:inline>
              </w:drawing>
            </w:r>
          </w:p>
          <w:p>
            <w:pPr>
              <w:spacing w:before="120" w:beforeLines="50" w:line="360" w:lineRule="auto"/>
              <w:ind w:firstLine="354" w:firstLineChars="147"/>
              <w:rPr>
                <w:rFonts w:ascii="宋体" w:hAnsi="宋体"/>
                <w:sz w:val="24"/>
              </w:rPr>
            </w:pPr>
            <w:r>
              <w:rPr>
                <w:rFonts w:hint="eastAsia" w:ascii="宋体" w:hAnsi="宋体"/>
                <w:b/>
                <w:sz w:val="24"/>
              </w:rPr>
              <w:t>工艺流程说明：</w:t>
            </w:r>
          </w:p>
          <w:p>
            <w:pPr>
              <w:spacing w:line="360" w:lineRule="auto"/>
              <w:ind w:firstLine="480" w:firstLineChars="200"/>
              <w:rPr>
                <w:rFonts w:ascii="宋体" w:hAnsi="宋体"/>
                <w:sz w:val="24"/>
              </w:rPr>
            </w:pPr>
            <w:r>
              <w:rPr>
                <w:rFonts w:hint="eastAsia" w:ascii="宋体" w:hAnsi="宋体"/>
                <w:sz w:val="24"/>
              </w:rPr>
              <w:t>项目黄金、银饰品的生产工艺流程：工厂根据订单要求设计、起版后交由合作厂家制作蜡模和倒模。原料从熔金开始加工，油压成型后执模，车花，然后进行抛光等工序，工件经清洗晾干后电金，再质检合格后包装即为成品。</w:t>
            </w:r>
          </w:p>
          <w:p>
            <w:pPr>
              <w:spacing w:line="360" w:lineRule="auto"/>
              <w:ind w:firstLine="480" w:firstLineChars="200"/>
              <w:rPr>
                <w:rFonts w:ascii="宋体" w:hAnsi="宋体"/>
                <w:sz w:val="24"/>
              </w:rPr>
            </w:pPr>
            <w:r>
              <w:rPr>
                <w:rFonts w:hint="eastAsia" w:ascii="宋体" w:hAnsi="宋体"/>
                <w:sz w:val="24"/>
              </w:rPr>
              <w:t>熔金是</w:t>
            </w:r>
            <w:r>
              <w:rPr>
                <w:rFonts w:hint="eastAsia"/>
                <w:bCs/>
                <w:sz w:val="24"/>
                <w:szCs w:val="36"/>
              </w:rPr>
              <w:t>利用石油气和氧气燃烧产生的高温使黄金等贵金属熔融。</w:t>
            </w:r>
          </w:p>
          <w:p>
            <w:pPr>
              <w:spacing w:line="360" w:lineRule="auto"/>
              <w:ind w:firstLine="480" w:firstLineChars="200"/>
              <w:rPr>
                <w:rFonts w:ascii="宋体" w:hAnsi="宋体"/>
                <w:sz w:val="24"/>
              </w:rPr>
            </w:pPr>
            <w:r>
              <w:rPr>
                <w:rFonts w:hint="eastAsia" w:ascii="宋体" w:hAnsi="宋体"/>
                <w:sz w:val="24"/>
              </w:rPr>
              <w:t>油压是使用油压机将所用金料的压成所需的基本形状。</w:t>
            </w:r>
          </w:p>
          <w:p>
            <w:pPr>
              <w:spacing w:line="360" w:lineRule="auto"/>
              <w:ind w:firstLine="480" w:firstLineChars="200"/>
              <w:rPr>
                <w:rFonts w:ascii="宋体" w:hAnsi="宋体"/>
                <w:sz w:val="24"/>
              </w:rPr>
            </w:pPr>
            <w:r>
              <w:rPr>
                <w:rFonts w:ascii="宋体" w:hAnsi="宋体"/>
                <w:sz w:val="24"/>
              </w:rPr>
              <w:t>车花工序是使用装有钻石车花刀的车花机在饰品表面作图案性的批花雕刻；</w:t>
            </w:r>
          </w:p>
          <w:p>
            <w:pPr>
              <w:spacing w:line="360" w:lineRule="auto"/>
              <w:ind w:firstLine="480" w:firstLineChars="200"/>
              <w:rPr>
                <w:rFonts w:ascii="宋体" w:hAnsi="宋体"/>
                <w:sz w:val="24"/>
              </w:rPr>
            </w:pPr>
            <w:r>
              <w:rPr>
                <w:rFonts w:hint="eastAsia" w:ascii="宋体" w:hAnsi="宋体"/>
                <w:sz w:val="24"/>
              </w:rPr>
              <w:t>执模是使用吊机将首饰毛坯的表面修饰成基本形状,</w:t>
            </w:r>
            <w:r>
              <w:rPr>
                <w:rFonts w:ascii="宋体" w:hAnsi="宋体"/>
                <w:sz w:val="24"/>
              </w:rPr>
              <w:t>对首饰进行表面打光和整形</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电金是指将首饰件挂在阴极，阳极为钛网，在电流作用下使首饰表面形成一层镀膜，使首饰显得更加有光泽，电金使用的原材助剂是开缸剂。</w:t>
            </w:r>
          </w:p>
          <w:p>
            <w:pPr>
              <w:spacing w:line="360" w:lineRule="auto"/>
              <w:ind w:firstLine="480" w:firstLineChars="200"/>
              <w:rPr>
                <w:rFonts w:ascii="宋体" w:hAnsi="宋体"/>
                <w:sz w:val="24"/>
              </w:rPr>
            </w:pPr>
            <w:r>
              <w:rPr>
                <w:rFonts w:hint="eastAsia" w:ascii="宋体" w:hAnsi="宋体"/>
                <w:sz w:val="24"/>
              </w:rPr>
              <w:t>清洗工序：项目生产的项链采用超声波清洗，吊坠、戒指、耳环等采用喷雾清洗，均使用清水，不添加任何洗涤剂。</w:t>
            </w:r>
          </w:p>
          <w:p>
            <w:pPr>
              <w:spacing w:line="360" w:lineRule="auto"/>
              <w:ind w:firstLine="361" w:firstLineChars="150"/>
              <w:rPr>
                <w:rFonts w:ascii="宋体" w:hAnsi="宋体"/>
                <w:b/>
                <w:sz w:val="24"/>
              </w:rPr>
            </w:pPr>
            <w:r>
              <w:rPr>
                <w:rFonts w:hint="eastAsia" w:ascii="宋体" w:hAnsi="宋体"/>
                <w:b/>
                <w:sz w:val="24"/>
              </w:rPr>
              <w:t>原辅材料说明</w:t>
            </w:r>
          </w:p>
          <w:p>
            <w:pPr>
              <w:spacing w:line="360" w:lineRule="auto"/>
              <w:ind w:left="586" w:leftChars="165" w:hanging="240" w:hangingChars="100"/>
              <w:rPr>
                <w:rFonts w:ascii="宋体" w:hAnsi="宋体"/>
                <w:sz w:val="24"/>
              </w:rPr>
            </w:pPr>
            <w:r>
              <w:rPr>
                <w:rFonts w:hint="eastAsia" w:ascii="宋体" w:hAnsi="宋体"/>
                <w:sz w:val="24"/>
              </w:rPr>
              <w:t>开缸剂：其成份为铑、硫酸和水，其中铑的含量为1g/L、硫酸的含量为35g/L。</w:t>
            </w:r>
          </w:p>
          <w:p>
            <w:pPr>
              <w:spacing w:line="360" w:lineRule="auto"/>
              <w:ind w:left="586" w:leftChars="165" w:hanging="240" w:hangingChars="100"/>
              <w:rPr>
                <w:rFonts w:ascii="宋体" w:hAnsi="宋体"/>
                <w:sz w:val="24"/>
              </w:rPr>
            </w:pPr>
          </w:p>
          <w:p>
            <w:pPr>
              <w:spacing w:line="360" w:lineRule="auto"/>
              <w:ind w:firstLine="480" w:firstLineChars="200"/>
              <w:rPr>
                <w:bCs/>
                <w:sz w:val="24"/>
                <w:szCs w:val="36"/>
              </w:rPr>
            </w:pPr>
          </w:p>
          <w:p>
            <w:pPr>
              <w:spacing w:line="360" w:lineRule="auto"/>
              <w:ind w:firstLine="480" w:firstLineChars="200"/>
              <w:rPr>
                <w:bCs/>
                <w:sz w:val="24"/>
                <w:szCs w:val="36"/>
              </w:rPr>
            </w:pPr>
          </w:p>
          <w:p>
            <w:pPr>
              <w:spacing w:line="360" w:lineRule="auto"/>
              <w:rPr>
                <w:b/>
                <w:sz w:val="24"/>
              </w:rPr>
            </w:pPr>
          </w:p>
          <w:p>
            <w:pPr>
              <w:spacing w:line="360" w:lineRule="auto"/>
              <w:rPr>
                <w:b/>
                <w:sz w:val="24"/>
              </w:rPr>
            </w:pPr>
            <w:r>
              <w:rPr>
                <w:rFonts w:hint="eastAsia"/>
                <w:b/>
                <w:sz w:val="24"/>
              </w:rPr>
              <w:t>主要污染工序：</w:t>
            </w:r>
          </w:p>
          <w:p>
            <w:pPr>
              <w:spacing w:line="360" w:lineRule="auto"/>
              <w:ind w:firstLine="354" w:firstLineChars="147"/>
              <w:rPr>
                <w:rFonts w:ascii="宋体" w:hAnsi="宋体"/>
                <w:b/>
                <w:sz w:val="24"/>
              </w:rPr>
            </w:pPr>
            <w:r>
              <w:rPr>
                <w:rFonts w:hint="eastAsia" w:ascii="宋体" w:hAnsi="宋体"/>
                <w:b/>
                <w:sz w:val="24"/>
              </w:rPr>
              <w:t xml:space="preserve">1、废水  </w:t>
            </w:r>
          </w:p>
          <w:p>
            <w:pPr>
              <w:spacing w:line="360" w:lineRule="auto"/>
              <w:ind w:firstLine="360" w:firstLineChars="150"/>
              <w:rPr>
                <w:rFonts w:ascii="宋体" w:hAnsi="宋体"/>
                <w:sz w:val="24"/>
              </w:rPr>
            </w:pPr>
            <w:r>
              <w:rPr>
                <w:rFonts w:hint="eastAsia" w:ascii="宋体" w:hAnsi="宋体"/>
                <w:sz w:val="24"/>
              </w:rPr>
              <w:t>生产废水：</w:t>
            </w:r>
          </w:p>
          <w:p>
            <w:pPr>
              <w:spacing w:line="360" w:lineRule="auto"/>
              <w:ind w:firstLine="360" w:firstLineChars="150"/>
              <w:rPr>
                <w:rFonts w:ascii="宋体" w:hAnsi="宋体"/>
                <w:sz w:val="24"/>
              </w:rPr>
            </w:pPr>
            <w:r>
              <w:rPr>
                <w:rFonts w:hint="eastAsia" w:ascii="宋体" w:hAnsi="宋体"/>
                <w:sz w:val="24"/>
              </w:rPr>
              <w:t>本项目清洗过程产生的废水，废水产生量约为0.01m</w:t>
            </w:r>
            <w:r>
              <w:rPr>
                <w:rFonts w:hint="eastAsia" w:ascii="宋体" w:hAnsi="宋体"/>
                <w:sz w:val="24"/>
                <w:vertAlign w:val="superscript"/>
              </w:rPr>
              <w:t>3</w:t>
            </w:r>
            <w:r>
              <w:rPr>
                <w:rFonts w:hint="eastAsia" w:ascii="宋体" w:hAnsi="宋体"/>
                <w:sz w:val="24"/>
              </w:rPr>
              <w:t>/d。</w:t>
            </w:r>
          </w:p>
          <w:p>
            <w:pPr>
              <w:spacing w:line="360" w:lineRule="auto"/>
              <w:ind w:firstLine="360" w:firstLineChars="150"/>
              <w:rPr>
                <w:rFonts w:ascii="宋体" w:hAnsi="宋体"/>
                <w:sz w:val="24"/>
              </w:rPr>
            </w:pPr>
            <w:r>
              <w:rPr>
                <w:rFonts w:hint="eastAsia" w:ascii="宋体" w:hAnsi="宋体"/>
                <w:sz w:val="24"/>
              </w:rPr>
              <w:t>生活污水：</w:t>
            </w:r>
          </w:p>
          <w:p>
            <w:pPr>
              <w:spacing w:line="360" w:lineRule="auto"/>
              <w:ind w:firstLine="360" w:firstLineChars="150"/>
              <w:rPr>
                <w:rFonts w:ascii="宋体" w:hAnsi="宋体"/>
                <w:sz w:val="24"/>
              </w:rPr>
            </w:pPr>
            <w:r>
              <w:rPr>
                <w:rFonts w:hint="eastAsia" w:ascii="宋体" w:hAnsi="宋体"/>
                <w:sz w:val="24"/>
              </w:rPr>
              <w:t>本项目有员工45人，员工不在厂内食宿，根据《深圳市行业用水定额》，员工在班生活用水量按56升/d·人计，用水总量为2.2m</w:t>
            </w:r>
            <w:r>
              <w:rPr>
                <w:rFonts w:hint="eastAsia" w:ascii="宋体" w:hAnsi="宋体"/>
                <w:sz w:val="24"/>
                <w:vertAlign w:val="superscript"/>
              </w:rPr>
              <w:t>3</w:t>
            </w:r>
            <w:r>
              <w:rPr>
                <w:rFonts w:hint="eastAsia" w:ascii="宋体" w:hAnsi="宋体"/>
                <w:sz w:val="24"/>
              </w:rPr>
              <w:t>/d,排污系数按0.9计，则污水排放量为2.0m</w:t>
            </w:r>
            <w:r>
              <w:rPr>
                <w:rFonts w:hint="eastAsia" w:ascii="宋体" w:hAnsi="宋体"/>
                <w:sz w:val="24"/>
                <w:vertAlign w:val="superscript"/>
              </w:rPr>
              <w:t>3</w:t>
            </w:r>
            <w:r>
              <w:rPr>
                <w:rFonts w:hint="eastAsia" w:ascii="宋体" w:hAnsi="宋体"/>
                <w:sz w:val="24"/>
              </w:rPr>
              <w:t>/d。</w:t>
            </w:r>
          </w:p>
          <w:p>
            <w:pPr>
              <w:spacing w:line="360" w:lineRule="auto"/>
              <w:ind w:firstLine="354" w:firstLineChars="147"/>
              <w:rPr>
                <w:rFonts w:ascii="宋体" w:hAnsi="宋体"/>
                <w:b/>
                <w:sz w:val="24"/>
              </w:rPr>
            </w:pPr>
            <w:r>
              <w:rPr>
                <w:rFonts w:hint="eastAsia" w:ascii="宋体" w:hAnsi="宋体"/>
                <w:b/>
                <w:sz w:val="24"/>
              </w:rPr>
              <w:t>2、废气</w:t>
            </w:r>
          </w:p>
          <w:p>
            <w:pPr>
              <w:spacing w:line="360" w:lineRule="auto"/>
              <w:ind w:firstLine="353" w:firstLineChars="147"/>
              <w:rPr>
                <w:rFonts w:ascii="宋体" w:hAnsi="宋体"/>
                <w:b/>
                <w:sz w:val="24"/>
              </w:rPr>
            </w:pPr>
            <w:r>
              <w:rPr>
                <w:rFonts w:hint="eastAsia" w:ascii="宋体" w:hAnsi="宋体"/>
                <w:sz w:val="24"/>
              </w:rPr>
              <w:t>项目执模工序产生少量的</w:t>
            </w:r>
            <w:r>
              <w:rPr>
                <w:rFonts w:hint="eastAsia"/>
                <w:sz w:val="24"/>
              </w:rPr>
              <w:t>贵金属</w:t>
            </w:r>
            <w:r>
              <w:rPr>
                <w:rFonts w:hint="eastAsia" w:ascii="宋体" w:hAnsi="宋体"/>
                <w:sz w:val="24"/>
              </w:rPr>
              <w:t>粉尘，</w:t>
            </w:r>
            <w:r>
              <w:rPr>
                <w:rFonts w:hint="eastAsia"/>
                <w:sz w:val="24"/>
              </w:rPr>
              <w:t>电金工序产生少量硫酸雾。熔金工序产生少量颗粒物。</w:t>
            </w:r>
          </w:p>
          <w:p>
            <w:pPr>
              <w:spacing w:line="360" w:lineRule="auto"/>
              <w:ind w:firstLine="354" w:firstLineChars="147"/>
              <w:rPr>
                <w:rFonts w:ascii="宋体" w:hAnsi="宋体"/>
                <w:b/>
                <w:sz w:val="24"/>
              </w:rPr>
            </w:pPr>
            <w:r>
              <w:rPr>
                <w:rFonts w:hint="eastAsia" w:ascii="宋体" w:hAnsi="宋体"/>
                <w:b/>
                <w:sz w:val="24"/>
              </w:rPr>
              <w:t>3、噪声</w:t>
            </w:r>
          </w:p>
          <w:p>
            <w:pPr>
              <w:spacing w:line="360" w:lineRule="auto"/>
              <w:ind w:firstLine="360" w:firstLineChars="150"/>
              <w:rPr>
                <w:rFonts w:ascii="宋体" w:hAnsi="宋体"/>
                <w:sz w:val="24"/>
              </w:rPr>
            </w:pPr>
            <w:r>
              <w:rPr>
                <w:rFonts w:hint="eastAsia" w:ascii="宋体" w:hAnsi="宋体"/>
                <w:sz w:val="24"/>
              </w:rPr>
              <w:t>本项目生产过程中产生的噪声主要为压片机、冲床等设备运行时产生的噪声，噪声值约60～70dB(A)。</w:t>
            </w:r>
          </w:p>
          <w:p>
            <w:pPr>
              <w:spacing w:line="360" w:lineRule="auto"/>
              <w:ind w:firstLine="354" w:firstLineChars="147"/>
              <w:rPr>
                <w:rFonts w:ascii="宋体" w:hAnsi="宋体"/>
                <w:b/>
                <w:sz w:val="24"/>
              </w:rPr>
            </w:pPr>
            <w:r>
              <w:rPr>
                <w:rFonts w:hint="eastAsia" w:ascii="宋体" w:hAnsi="宋体"/>
                <w:b/>
                <w:sz w:val="24"/>
              </w:rPr>
              <w:t>4、固体废物</w:t>
            </w:r>
          </w:p>
          <w:p>
            <w:pPr>
              <w:pStyle w:val="73"/>
              <w:spacing w:line="360" w:lineRule="auto"/>
              <w:ind w:firstLine="360" w:firstLineChars="150"/>
              <w:rPr>
                <w:rFonts w:ascii="宋体" w:hAnsi="宋体"/>
              </w:rPr>
            </w:pPr>
            <w:r>
              <w:rPr>
                <w:rFonts w:hint="eastAsia" w:ascii="宋体" w:hAnsi="宋体"/>
              </w:rPr>
              <w:t>本项目生产经营过程中产生的固体废物主要是一般工业固体废物和员工生活垃圾。</w:t>
            </w:r>
          </w:p>
          <w:p>
            <w:pPr>
              <w:spacing w:line="360" w:lineRule="auto"/>
              <w:ind w:firstLine="360" w:firstLineChars="150"/>
              <w:rPr>
                <w:rFonts w:ascii="宋体" w:hAnsi="宋体"/>
                <w:sz w:val="24"/>
              </w:rPr>
            </w:pPr>
            <w:r>
              <w:rPr>
                <w:rFonts w:hint="eastAsia" w:ascii="宋体" w:hAnsi="宋体"/>
                <w:sz w:val="24"/>
              </w:rPr>
              <w:t>本项目员工有45人，生活垃圾每人每天按1kg计，生活垃圾产生</w:t>
            </w:r>
            <w:r>
              <w:rPr>
                <w:rFonts w:hint="eastAsia" w:ascii="宋体" w:hAnsi="宋体"/>
                <w:bCs/>
                <w:sz w:val="24"/>
              </w:rPr>
              <w:t>量为</w:t>
            </w:r>
            <w:r>
              <w:rPr>
                <w:rFonts w:hint="eastAsia" w:ascii="宋体" w:hAnsi="宋体"/>
                <w:sz w:val="24"/>
              </w:rPr>
              <w:t>45kg</w:t>
            </w:r>
            <w:r>
              <w:rPr>
                <w:rFonts w:hint="eastAsia" w:ascii="宋体" w:hAnsi="宋体"/>
                <w:bCs/>
                <w:sz w:val="24"/>
              </w:rPr>
              <w:t>/d</w:t>
            </w:r>
            <w:r>
              <w:rPr>
                <w:rFonts w:hint="eastAsia" w:ascii="宋体" w:hAnsi="宋体"/>
                <w:sz w:val="24"/>
              </w:rPr>
              <w:t>。</w:t>
            </w:r>
          </w:p>
          <w:p>
            <w:pPr>
              <w:spacing w:line="360" w:lineRule="auto"/>
              <w:ind w:firstLine="480" w:firstLineChars="200"/>
              <w:rPr>
                <w:rFonts w:hAnsi="宋体"/>
                <w:sz w:val="24"/>
              </w:rPr>
            </w:pPr>
            <w:r>
              <w:rPr>
                <w:rFonts w:hint="eastAsia" w:ascii="宋体" w:hAnsi="宋体"/>
                <w:sz w:val="24"/>
              </w:rPr>
              <w:t>一般工业废物：废包装材料、贵金属碎屑。</w:t>
            </w:r>
          </w:p>
        </w:tc>
      </w:tr>
    </w:tbl>
    <w:p>
      <w:pPr>
        <w:autoSpaceDE w:val="0"/>
        <w:autoSpaceDN w:val="0"/>
        <w:spacing w:line="360" w:lineRule="auto"/>
        <w:jc w:val="left"/>
        <w:rPr>
          <w:b/>
          <w:kern w:val="0"/>
          <w:sz w:val="28"/>
          <w:szCs w:val="22"/>
        </w:rPr>
      </w:pPr>
    </w:p>
    <w:p>
      <w:pPr>
        <w:autoSpaceDE w:val="0"/>
        <w:autoSpaceDN w:val="0"/>
        <w:spacing w:line="360" w:lineRule="auto"/>
        <w:jc w:val="left"/>
        <w:rPr>
          <w:rFonts w:hint="eastAsia"/>
          <w:b/>
          <w:kern w:val="0"/>
          <w:sz w:val="28"/>
          <w:szCs w:val="22"/>
        </w:rPr>
      </w:pPr>
      <w:r>
        <w:rPr>
          <w:b/>
          <w:kern w:val="0"/>
          <w:sz w:val="28"/>
          <w:szCs w:val="22"/>
          <w:lang w:eastAsia="en-US"/>
        </w:rPr>
        <w:t>续表二</w:t>
      </w:r>
    </w:p>
    <w:tbl>
      <w:tblPr>
        <w:tblStyle w:val="28"/>
        <w:tblW w:w="955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57" w:hRule="atLeast"/>
        </w:trPr>
        <w:tc>
          <w:tcPr>
            <w:tcW w:w="9556" w:type="dxa"/>
          </w:tcPr>
          <w:p>
            <w:pPr>
              <w:autoSpaceDE w:val="0"/>
              <w:autoSpaceDN w:val="0"/>
              <w:adjustRightInd w:val="0"/>
              <w:spacing w:line="360" w:lineRule="auto"/>
              <w:jc w:val="left"/>
              <w:rPr>
                <w:b/>
                <w:kern w:val="0"/>
                <w:sz w:val="24"/>
              </w:rPr>
            </w:pPr>
            <w:r>
              <w:rPr>
                <w:b/>
                <w:kern w:val="0"/>
                <w:sz w:val="24"/>
              </w:rPr>
              <w:t>主要污染源、污染物处理和排放流程(附示意图、标出监测点位)：</w:t>
            </w:r>
          </w:p>
          <w:p>
            <w:pPr>
              <w:autoSpaceDE w:val="0"/>
              <w:autoSpaceDN w:val="0"/>
              <w:adjustRightInd w:val="0"/>
              <w:spacing w:line="360" w:lineRule="auto"/>
              <w:jc w:val="left"/>
              <w:rPr>
                <w:b/>
                <w:kern w:val="0"/>
                <w:sz w:val="20"/>
                <w:szCs w:val="20"/>
              </w:rPr>
            </w:pPr>
            <w:r>
              <w:rPr>
                <w:b/>
                <w:kern w:val="0"/>
                <w:sz w:val="24"/>
              </w:rPr>
              <w:t>1、废水：</w:t>
            </w:r>
          </w:p>
          <w:p>
            <w:pPr>
              <w:spacing w:line="360" w:lineRule="auto"/>
              <w:ind w:firstLine="480" w:firstLineChars="200"/>
              <w:rPr>
                <w:sz w:val="24"/>
              </w:rPr>
            </w:pPr>
            <w:r>
              <w:rPr>
                <w:sz w:val="24"/>
              </w:rPr>
              <w:pict>
                <v:rect id="_x0000_s1142" o:spid="_x0000_s1142" o:spt="1" style="position:absolute;left:0pt;margin-left:182.3pt;margin-top:31.05pt;height:26.3pt;width:31.85pt;z-index:251839488;mso-width-relative:page;mso-height-relative:page;" fillcolor="#FFFFFF" filled="t" stroked="f" coordsize="21600,21600">
                  <v:path/>
                  <v:fill type="gradient" on="t" opacity="0f" o:opacity2="0f" focussize="0f,0f"/>
                  <v:stroke on="f" weight="1.25pt" color="#000000 [3213]"/>
                  <v:imagedata o:title=""/>
                  <o:lock v:ext="edit"/>
                  <v:textbox>
                    <w:txbxContent>
                      <w:p>
                        <w:pPr/>
                        <w:r>
                          <w:rPr>
                            <w:rFonts w:hint="eastAsia"/>
                          </w:rPr>
                          <w:t>S</w:t>
                        </w:r>
                        <w:r>
                          <w:rPr>
                            <w:rFonts w:hint="eastAsia"/>
                            <w:vertAlign w:val="subscript"/>
                          </w:rPr>
                          <w:t>1</w:t>
                        </w:r>
                      </w:p>
                    </w:txbxContent>
                  </v:textbox>
                </v:rect>
              </w:pict>
            </w:r>
            <w:r>
              <w:rPr>
                <w:sz w:val="24"/>
              </w:rPr>
              <w:t>生活污水：</w:t>
            </w:r>
            <w:r>
              <w:rPr>
                <w:kern w:val="0"/>
                <w:sz w:val="24"/>
              </w:rPr>
              <w:t>项目产生的生活污水经化粪池处理后接入市政管网，汇入盐田污水处理厂处理后排放</w:t>
            </w:r>
            <w:r>
              <w:rPr>
                <w:rFonts w:hint="eastAsia"/>
                <w:kern w:val="0"/>
                <w:sz w:val="24"/>
              </w:rPr>
              <w:t>,</w:t>
            </w:r>
            <w:r>
              <w:rPr>
                <w:sz w:val="24"/>
                <w:lang w:val="en-GB"/>
              </w:rPr>
              <w:t>流程如图所示</w:t>
            </w:r>
            <w:r>
              <w:rPr>
                <w:rFonts w:hint="eastAsia"/>
                <w:sz w:val="24"/>
                <w:lang w:val="en-GB"/>
              </w:rPr>
              <w:t>：</w:t>
            </w:r>
          </w:p>
          <w:p>
            <w:pPr>
              <w:widowControl/>
              <w:jc w:val="left"/>
              <w:rPr>
                <w:kern w:val="0"/>
                <w:sz w:val="28"/>
              </w:rPr>
            </w:pPr>
            <w:r>
              <w:rPr>
                <w:b/>
                <w:kern w:val="0"/>
                <w:sz w:val="24"/>
              </w:rPr>
              <w:pict>
                <v:shape id="Quad Arrow 134" o:spid="_x0000_s1081" o:spt="202" type="#_x0000_t202" style="position:absolute;left:0pt;margin-left:397.55pt;margin-top:6pt;height:21.55pt;width:37.45pt;z-index:251729920;mso-width-relative:page;mso-height-relative:page;" coordsize="21600,21600" o:gfxdata="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SllXtcA&#10;AAAJAQAADwAAAAAAAAABACAAAAAiAAAAZHJzL2Rvd25yZXYueG1sUEsBAhQAFAAAAAgAh07iQE7/&#10;NpvnAQAA7AMAAA4AAAAAAAAAAQAgAAAAJgEAAGRycy9lMm9Eb2MueG1sUEsFBgAAAAAGAAYAWQEA&#10;AH8FAAAAAA==&#10;">
                  <v:path/>
                  <v:fill focussize="0,0"/>
                  <v:stroke joinstyle="miter"/>
                  <v:imagedata o:title=""/>
                  <o:lock v:ext="edit"/>
                  <v:textbox>
                    <w:txbxContent>
                      <w:p>
                        <w:pPr>
                          <w:jc w:val="center"/>
                          <w:rPr>
                            <w:sz w:val="18"/>
                            <w:szCs w:val="18"/>
                          </w:rPr>
                        </w:pPr>
                        <w:r>
                          <w:rPr>
                            <w:rFonts w:hint="eastAsia"/>
                            <w:sz w:val="18"/>
                            <w:szCs w:val="18"/>
                          </w:rPr>
                          <w:t>排放</w:t>
                        </w:r>
                      </w:p>
                    </w:txbxContent>
                  </v:textbox>
                </v:shape>
              </w:pict>
            </w:r>
            <w:r>
              <w:rPr>
                <w:b/>
                <w:kern w:val="0"/>
                <w:sz w:val="24"/>
              </w:rPr>
              <w:pict>
                <v:shape id="Quad Arrow 133" o:spid="_x0000_s1080" o:spt="202" type="#_x0000_t202" style="position:absolute;left:0pt;margin-left:290.95pt;margin-top:6pt;height:23.3pt;width:82.4pt;z-index:251727872;mso-width-relative:page;mso-height-relative:page;" coordsize="21600,21600" o:gfxdata="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B0/+Z&#10;1wAAAAkBAAAPAAAAAAAAAAEAIAAAACIAAABkcnMvZG93bnJldi54bWxQSwECFAAUAAAACACHTuJA&#10;nQA21ukBAADtAwAADgAAAAAAAAABACAAAAAmAQAAZHJzL2Uyb0RvYy54bWxQSwUGAAAAAAYABgBZ&#10;AQAAgQUAAAAA&#10;">
                  <v:path/>
                  <v:fill focussize="0,0"/>
                  <v:stroke joinstyle="miter"/>
                  <v:imagedata o:title=""/>
                  <o:lock v:ext="edit"/>
                  <v:textbox>
                    <w:txbxContent>
                      <w:p>
                        <w:pPr>
                          <w:jc w:val="center"/>
                          <w:rPr>
                            <w:sz w:val="18"/>
                            <w:szCs w:val="18"/>
                          </w:rPr>
                        </w:pPr>
                        <w:r>
                          <w:rPr>
                            <w:rFonts w:hint="eastAsia"/>
                            <w:sz w:val="18"/>
                            <w:szCs w:val="18"/>
                          </w:rPr>
                          <w:t>盐田污水处理厂</w:t>
                        </w:r>
                      </w:p>
                    </w:txbxContent>
                  </v:textbox>
                </v:shape>
              </w:pict>
            </w:r>
            <w:r>
              <w:rPr>
                <w:b/>
                <w:kern w:val="0"/>
                <w:sz w:val="24"/>
              </w:rPr>
              <w:pict>
                <v:shape id="文本框 173" o:spid="_x0000_s1079" o:spt="202" type="#_x0000_t202" style="position:absolute;left:0pt;margin-left:210.95pt;margin-top:6.1pt;height:23.2pt;width:57.6pt;z-index:251725824;mso-width-relative:page;mso-height-relative:page;" coordsize="21600,21600" o:gfxdata="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T/YIHZAAAACQEAAA8AAAAAAAAAAQAgAAAAIgAAAGRycy9kb3ducmV2LnhtbFBL&#10;AQIUABQAAAAIAIdO4kDaL66n9QEAAOoDAAAOAAAAAAAAAAEAIAAAACgBAABkcnMvZTJvRG9jLnht&#10;bFBLBQYAAAAABgAGAFkBAACPBQAAAAA=&#10;">
                  <v:path/>
                  <v:fill focussize="0,0"/>
                  <v:stroke joinstyle="miter"/>
                  <v:imagedata o:title=""/>
                  <o:lock v:ext="edit"/>
                  <v:textbox>
                    <w:txbxContent>
                      <w:p>
                        <w:pPr>
                          <w:jc w:val="center"/>
                          <w:rPr>
                            <w:sz w:val="18"/>
                            <w:szCs w:val="18"/>
                          </w:rPr>
                        </w:pPr>
                        <w:r>
                          <w:rPr>
                            <w:rFonts w:hint="eastAsia"/>
                            <w:sz w:val="18"/>
                            <w:szCs w:val="18"/>
                          </w:rPr>
                          <w:t>市政管网</w:t>
                        </w:r>
                      </w:p>
                    </w:txbxContent>
                  </v:textbox>
                </v:shape>
              </w:pict>
            </w:r>
            <w:r>
              <w:rPr>
                <w:b/>
                <w:kern w:val="0"/>
                <w:sz w:val="24"/>
              </w:rPr>
              <w:pict>
                <v:shape id="Quad Arrow 128" o:spid="_x0000_s1078" o:spt="202" type="#_x0000_t202" style="position:absolute;left:0pt;margin-left:117.8pt;margin-top:6.15pt;height:23.2pt;width:64.5pt;z-index:251721728;mso-width-relative:page;mso-height-relative:page;" coordsize="21600,21600" o:gfxdata="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tel/C&#10;2AAAAAkBAAAPAAAAAAAAAAEAIAAAACIAAABkcnMvZG93bnJldi54bWxQSwECFAAUAAAACACHTuJA&#10;hnPDeugBAADrAwAADgAAAAAAAAABACAAAAAnAQAAZHJzL2Uyb0RvYy54bWxQSwUGAAAAAAYABgBZ&#10;AQAAgQUAAAAA&#10;">
                  <v:path/>
                  <v:fill focussize="0,0"/>
                  <v:stroke joinstyle="miter"/>
                  <v:imagedata o:title=""/>
                  <o:lock v:ext="edit"/>
                  <v:textbox>
                    <w:txbxContent>
                      <w:p>
                        <w:pPr>
                          <w:jc w:val="center"/>
                          <w:rPr>
                            <w:sz w:val="18"/>
                            <w:szCs w:val="18"/>
                          </w:rPr>
                        </w:pPr>
                        <w:r>
                          <w:rPr>
                            <w:rFonts w:hint="eastAsia"/>
                            <w:sz w:val="18"/>
                            <w:szCs w:val="18"/>
                          </w:rPr>
                          <w:t>三级化粪池</w:t>
                        </w:r>
                      </w:p>
                    </w:txbxContent>
                  </v:textbox>
                </v:shape>
              </w:pict>
            </w:r>
            <w:r>
              <w:rPr>
                <w:b/>
                <w:kern w:val="0"/>
                <w:sz w:val="24"/>
              </w:rPr>
              <w:pict>
                <v:shape id="Quad Arrow 270" o:spid="_x0000_s1077" o:spt="202" type="#_x0000_t202" style="position:absolute;left:0pt;margin-left:15.8pt;margin-top:6.05pt;height:23.35pt;width:72pt;z-index:251722752;mso-width-relative:page;mso-height-relative:page;" coordsize="21600,21600" o:gfxdata="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9y2pidcAAAAI&#10;AQAADwAAAAAAAAABACAAAAAiAAAAZHJzL2Rvd25yZXYueG1sUEsBAhQAFAAAAAgAh07iQMzKCFTk&#10;AQAA6wMAAA4AAAAAAAAAAQAgAAAAJgEAAGRycy9lMm9Eb2MueG1sUEsFBgAAAAAGAAYAWQEAAHwF&#10;AAAAAA==&#10;">
                  <v:path/>
                  <v:fill focussize="0,0"/>
                  <v:stroke joinstyle="miter"/>
                  <v:imagedata o:title=""/>
                  <o:lock v:ext="edit"/>
                  <v:textbox>
                    <w:txbxContent>
                      <w:p>
                        <w:pPr>
                          <w:jc w:val="center"/>
                          <w:rPr>
                            <w:sz w:val="18"/>
                            <w:szCs w:val="18"/>
                          </w:rPr>
                        </w:pPr>
                        <w:r>
                          <w:rPr>
                            <w:rFonts w:hint="eastAsia"/>
                            <w:sz w:val="18"/>
                            <w:szCs w:val="18"/>
                          </w:rPr>
                          <w:t>生活污水</w:t>
                        </w:r>
                      </w:p>
                    </w:txbxContent>
                  </v:textbox>
                </v:shape>
              </w:pict>
            </w:r>
          </w:p>
          <w:p>
            <w:pPr>
              <w:widowControl/>
              <w:jc w:val="left"/>
              <w:rPr>
                <w:kern w:val="0"/>
                <w:sz w:val="28"/>
              </w:rPr>
            </w:pPr>
            <w:r>
              <w:rPr>
                <w:b/>
                <w:kern w:val="0"/>
                <w:sz w:val="24"/>
              </w:rPr>
              <w:pict>
                <v:shape id="Straight Connector 162" o:spid="_x0000_s1076" o:spt="32" type="#_x0000_t32" style="position:absolute;left:0pt;margin-left:373.35pt;margin-top:0.75pt;height:0pt;width:22.4pt;z-index:251728896;mso-width-relative:page;mso-height-relative:page;" filled="f" coordsize="21600,21600" o:gfxdata="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Hz7P9UAAAAHAQAADwAAAAAAAAABACAAAAAiAAAAZHJz&#10;L2Rvd25yZXYueG1sUEsBAhQAFAAAAAgAh07iQOm8L67OAQAAogMAAA4AAAAAAAAAAQAgAAAAJAEA&#10;AGRycy9lMm9Eb2MueG1sUEsFBgAAAAAGAAYAWQEAAGQFAAAAAA==&#10;">
                  <v:path arrowok="t"/>
                  <v:fill on="f" focussize="0,0"/>
                  <v:stroke endarrow="block"/>
                  <v:imagedata o:title=""/>
                  <o:lock v:ext="edit"/>
                </v:shape>
              </w:pict>
            </w:r>
            <w:r>
              <w:rPr>
                <w:b/>
                <w:kern w:val="0"/>
                <w:sz w:val="24"/>
              </w:rPr>
              <w:pict>
                <v:shape id="自选图形 174" o:spid="_x0000_s1075" o:spt="32" type="#_x0000_t32" style="position:absolute;left:0pt;margin-left:268.55pt;margin-top:0.6pt;height:0pt;width:22.4pt;z-index:251726848;mso-width-relative:page;mso-height-relative:page;" filled="f" coordsize="21600,21600" o:gfxdata="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aXFqs9YAAAAHAQAA&#10;DwAAAAAAAAABACAAAAAiAAAAZHJzL2Rvd25yZXYueG1sUEsBAhQAFAAAAAgAh07iQClc1vDiAQAA&#10;nAMAAA4AAAAAAAAAAQAgAAAAJQEAAGRycy9lMm9Eb2MueG1sUEsFBgAAAAAGAAYAWQEAAHkFAAAA&#10;AA==&#10;">
                  <v:path arrowok="t"/>
                  <v:fill on="f" focussize="0,0"/>
                  <v:stroke endarrow="block"/>
                  <v:imagedata o:title=""/>
                  <o:lock v:ext="edit"/>
                </v:shape>
              </w:pict>
            </w:r>
            <w:r>
              <w:rPr>
                <w:b/>
                <w:kern w:val="0"/>
                <w:sz w:val="24"/>
              </w:rPr>
              <w:pict>
                <v:shape id="自选图形 170" o:spid="_x0000_s1074" o:spt="32" type="#_x0000_t32" style="position:absolute;left:0pt;margin-left:182.3pt;margin-top:0.6pt;height:0.1pt;width:28.65pt;z-index:251723776;mso-width-relative:page;mso-height-relative:page;" filled="f" coordsize="21600,21600" o:gfxdata="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kcEabWAAAABwEA&#10;AA8AAAAAAAAAAQAgAAAAIgAAAGRycy9kb3ducmV2LnhtbFBLAQIUABQAAAAIAIdO4kBhsnXZ4wEA&#10;AJ4DAAAOAAAAAAAAAAEAIAAAACUBAABkcnMvZTJvRG9jLnhtbFBLBQYAAAAABgAGAFkBAAB6BQAA&#10;AAA=&#10;">
                  <v:path arrowok="t"/>
                  <v:fill on="f" focussize="0,0"/>
                  <v:stroke endarrow="block"/>
                  <v:imagedata o:title=""/>
                  <o:lock v:ext="edit"/>
                </v:shape>
              </w:pict>
            </w:r>
            <w:r>
              <w:rPr>
                <w:b/>
                <w:kern w:val="0"/>
                <w:sz w:val="24"/>
              </w:rPr>
              <w:pict>
                <v:shape id="Straight Connector 274" o:spid="_x0000_s1073" o:spt="32" type="#_x0000_t32" style="position:absolute;left:0pt;margin-left:87.8pt;margin-top:0.55pt;height:0pt;width:27.75pt;z-index:251720704;mso-width-relative:page;mso-height-relative:page;" filled="f" coordsize="21600,21600" o:gfxdata="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I30yfUAAAABwEAAA8AAAAAAAAAAQAgAAAAIgAAAGRycy9kb3du&#10;cmV2LnhtbFBLAQIUABQAAAAIAIdO4kDlkKu/ygEAAKEDAAAOAAAAAAAAAAEAIAAAACMBAABkcnMv&#10;ZTJvRG9jLnhtbFBLBQYAAAAABgAGAFkBAABfBQAAAAA=&#10;">
                  <v:path arrowok="t"/>
                  <v:fill on="f" focussize="0,0"/>
                  <v:stroke endarrow="block"/>
                  <v:imagedata o:title=""/>
                  <o:lock v:ext="edit"/>
                </v:shape>
              </w:pict>
            </w:r>
          </w:p>
          <w:p>
            <w:pPr>
              <w:widowControl/>
              <w:jc w:val="left"/>
              <w:rPr>
                <w:kern w:val="0"/>
                <w:sz w:val="28"/>
              </w:rPr>
            </w:pPr>
          </w:p>
          <w:p>
            <w:pPr>
              <w:spacing w:line="360" w:lineRule="auto"/>
              <w:ind w:firstLine="480" w:firstLineChars="200"/>
              <w:rPr>
                <w:sz w:val="24"/>
                <w:lang w:val="en-GB"/>
              </w:rPr>
            </w:pPr>
            <w:r>
              <w:rPr>
                <w:kern w:val="0"/>
                <w:sz w:val="24"/>
              </w:rPr>
              <w:t>生产废水</w:t>
            </w:r>
            <w:r>
              <w:rPr>
                <w:rFonts w:hint="eastAsia"/>
                <w:kern w:val="0"/>
                <w:sz w:val="24"/>
              </w:rPr>
              <w:t>：</w:t>
            </w:r>
            <w:r>
              <w:rPr>
                <w:rFonts w:hint="eastAsia" w:ascii="宋体" w:hAnsi="宋体"/>
                <w:sz w:val="24"/>
              </w:rPr>
              <w:t>本项目</w:t>
            </w:r>
            <w:r>
              <w:rPr>
                <w:rFonts w:hint="eastAsia"/>
                <w:sz w:val="24"/>
              </w:rPr>
              <w:t>生产过程中产生清洗废水</w:t>
            </w:r>
            <w:r>
              <w:rPr>
                <w:kern w:val="0"/>
                <w:sz w:val="24"/>
              </w:rPr>
              <w:t>，委托有资质的单位统一处理不外排。</w:t>
            </w:r>
          </w:p>
          <w:p>
            <w:pPr>
              <w:spacing w:line="360" w:lineRule="auto"/>
              <w:rPr>
                <w:kern w:val="0"/>
                <w:sz w:val="28"/>
                <w:highlight w:val="yellow"/>
              </w:rPr>
            </w:pPr>
            <w:r>
              <w:rPr>
                <w:b/>
                <w:kern w:val="0"/>
                <w:sz w:val="24"/>
                <w:highlight w:val="yellow"/>
              </w:rPr>
              <w:pict>
                <v:shape id="文本框 182" o:spid="_x0000_s1072" o:spt="202" type="#_x0000_t202" style="position:absolute;left:0pt;margin-left:238.7pt;margin-top:2.75pt;height:28.5pt;width:157.05pt;z-index:251735040;mso-width-relative:page;mso-height-relative:page;" coordsize="21600,21600" o:gfxdata="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dOuutgAAAAIAQAADwAAAAAAAAABACAAAAAiAAAAZHJzL2Rvd25yZXYueG1sUEsB&#10;AhQAFAAAAAgAh07iQBRignb1AQAA7AMAAA4AAAAAAAAAAQAgAAAAJwEAAGRycy9lMm9Eb2MueG1s&#10;UEsFBgAAAAAGAAYAWQEAAI4FAAAAAA==&#10;">
                  <v:path/>
                  <v:fill focussize="0,0"/>
                  <v:stroke joinstyle="miter"/>
                  <v:imagedata o:title=""/>
                  <o:lock v:ext="edit"/>
                  <v:textbox>
                    <w:txbxContent>
                      <w:p>
                        <w:pPr>
                          <w:jc w:val="center"/>
                          <w:rPr>
                            <w:kern w:val="0"/>
                            <w:sz w:val="18"/>
                            <w:szCs w:val="18"/>
                          </w:rPr>
                        </w:pPr>
                        <w:r>
                          <w:rPr>
                            <w:kern w:val="0"/>
                            <w:sz w:val="18"/>
                            <w:szCs w:val="18"/>
                          </w:rPr>
                          <w:t>委托有资质的单位统一处理不外排</w:t>
                        </w:r>
                      </w:p>
                    </w:txbxContent>
                  </v:textbox>
                </v:shape>
              </w:pict>
            </w:r>
            <w:r>
              <w:rPr>
                <w:b/>
                <w:kern w:val="0"/>
                <w:sz w:val="24"/>
                <w:highlight w:val="yellow"/>
              </w:rPr>
              <w:pict>
                <v:shape id="文本框 178" o:spid="_x0000_s1071" o:spt="202" type="#_x0000_t202" style="position:absolute;left:0pt;margin-left:124.5pt;margin-top:2.75pt;height:28.5pt;width:86.45pt;z-index:251730944;mso-width-relative:page;mso-height-relative:page;" coordsize="21600,21600" o:gfxdata="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CTekD2AAAAAgBAAAPAAAAAAAAAAEAIAAAACIAAABkcnMvZG93bnJldi54bWxQSwEC&#10;FAAUAAAACACHTuJAmPTbcPQBAADsAwAADgAAAAAAAAABACAAAAAnAQAAZHJzL2Uyb0RvYy54bWxQ&#10;SwUGAAAAAAYABgBZAQAAjQUAAAAA&#10;">
                  <v:path/>
                  <v:fill focussize="0,0"/>
                  <v:stroke joinstyle="miter"/>
                  <v:imagedata o:title=""/>
                  <o:lock v:ext="edit"/>
                  <v:textbox>
                    <w:txbxContent>
                      <w:p>
                        <w:pPr>
                          <w:jc w:val="center"/>
                          <w:rPr>
                            <w:kern w:val="0"/>
                            <w:sz w:val="18"/>
                            <w:szCs w:val="18"/>
                          </w:rPr>
                        </w:pPr>
                        <w:r>
                          <w:rPr>
                            <w:kern w:val="0"/>
                            <w:sz w:val="18"/>
                            <w:szCs w:val="18"/>
                          </w:rPr>
                          <w:t>废水收集池</w:t>
                        </w:r>
                      </w:p>
                    </w:txbxContent>
                  </v:textbox>
                </v:shape>
              </w:pict>
            </w:r>
            <w:r>
              <w:rPr>
                <w:b/>
                <w:kern w:val="0"/>
                <w:sz w:val="24"/>
                <w:highlight w:val="yellow"/>
              </w:rPr>
              <w:pict>
                <v:shape id="文本框 179" o:spid="_x0000_s1070" o:spt="202" type="#_x0000_t202" style="position:absolute;left:0pt;margin-left:9.05pt;margin-top:2.75pt;height:28.5pt;width:86.45pt;z-index:251731968;mso-width-relative:page;mso-height-relative:page;" coordsize="21600,21600" o:gfxdata="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SmRBdYAAAAHAQAADwAAAAAAAAABACAAAAAiAAAAZHJzL2Rvd25yZXYueG1sUEsBAhQA&#10;FAAAAAgAh07iQFPpq530AQAA7AMAAA4AAAAAAAAAAQAgAAAAJQEAAGRycy9lMm9Eb2MueG1sUEsF&#10;BgAAAAAGAAYAWQEAAIsFAAAAAA==&#10;">
                  <v:path/>
                  <v:fill focussize="0,0"/>
                  <v:stroke joinstyle="miter"/>
                  <v:imagedata o:title=""/>
                  <o:lock v:ext="edit"/>
                  <v:textbox>
                    <w:txbxContent>
                      <w:p>
                        <w:pPr>
                          <w:jc w:val="center"/>
                          <w:rPr>
                            <w:kern w:val="0"/>
                            <w:sz w:val="18"/>
                            <w:szCs w:val="18"/>
                          </w:rPr>
                        </w:pPr>
                        <w:r>
                          <w:rPr>
                            <w:rFonts w:hint="eastAsia"/>
                            <w:kern w:val="0"/>
                            <w:sz w:val="18"/>
                            <w:szCs w:val="18"/>
                          </w:rPr>
                          <w:t>清洗废水</w:t>
                        </w:r>
                      </w:p>
                    </w:txbxContent>
                  </v:textbox>
                </v:shape>
              </w:pict>
            </w:r>
            <w:r>
              <w:rPr>
                <w:b/>
                <w:kern w:val="0"/>
                <w:sz w:val="24"/>
                <w:highlight w:val="yellow"/>
              </w:rPr>
              <w:pict>
                <v:shape id="自选图形 181" o:spid="_x0000_s1069" o:spt="32" type="#_x0000_t32" style="position:absolute;left:0pt;margin-left:210.95pt;margin-top:12.5pt;height:0pt;width:27.75pt;z-index:251734016;mso-width-relative:page;mso-height-relative:page;" filled="f" coordsize="21600,21600" o:gfxdata="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tv+9kAAAAJ&#10;AQAADwAAAAAAAAABACAAAAAiAAAAZHJzL2Rvd25yZXYueG1sUEsBAhQAFAAAAAgAh07iQL90nA7i&#10;AQAAnAMAAA4AAAAAAAAAAQAgAAAAKAEAAGRycy9lMm9Eb2MueG1sUEsFBgAAAAAGAAYAWQEAAHwF&#10;AAAAAA==&#10;">
                  <v:path arrowok="t"/>
                  <v:fill on="f" focussize="0,0"/>
                  <v:stroke endarrow="block"/>
                  <v:imagedata o:title=""/>
                  <o:lock v:ext="edit"/>
                </v:shape>
              </w:pict>
            </w:r>
            <w:r>
              <w:rPr>
                <w:b/>
                <w:kern w:val="0"/>
                <w:sz w:val="24"/>
                <w:highlight w:val="yellow"/>
              </w:rPr>
              <w:pict>
                <v:shape id="自选图形 180" o:spid="_x0000_s1068" o:spt="32" type="#_x0000_t32" style="position:absolute;left:0pt;margin-left:95.5pt;margin-top:12.5pt;height:0pt;width:27.75pt;z-index:251732992;mso-width-relative:page;mso-height-relative:page;" filled="f" coordsize="21600,21600" o:gfxdata="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50cx9gAAAAJAQAA&#10;DwAAAAAAAAABACAAAAAiAAAAZHJzL2Rvd25yZXYueG1sUEsBAhQAFAAAAAgAh07iQAzRj7bgAQAA&#10;nAMAAA4AAAAAAAAAAQAgAAAAJwEAAGRycy9lMm9Eb2MueG1sUEsFBgAAAAAGAAYAWQEAAHkFAAAA&#10;AA==&#10;">
                  <v:path arrowok="t"/>
                  <v:fill on="f" focussize="0,0"/>
                  <v:stroke endarrow="block"/>
                  <v:imagedata o:title=""/>
                  <o:lock v:ext="edit"/>
                </v:shape>
              </w:pict>
            </w:r>
          </w:p>
          <w:p>
            <w:pPr>
              <w:spacing w:line="360" w:lineRule="auto"/>
              <w:rPr>
                <w:kern w:val="0"/>
                <w:sz w:val="28"/>
                <w:highlight w:val="yellow"/>
              </w:rPr>
            </w:pPr>
          </w:p>
          <w:p>
            <w:pPr>
              <w:spacing w:line="360" w:lineRule="auto"/>
              <w:rPr>
                <w:b/>
                <w:kern w:val="0"/>
                <w:sz w:val="24"/>
                <w:highlight w:val="yellow"/>
              </w:rPr>
            </w:pPr>
          </w:p>
          <w:p>
            <w:pPr>
              <w:spacing w:line="360" w:lineRule="auto"/>
              <w:rPr>
                <w:b/>
                <w:kern w:val="0"/>
                <w:sz w:val="20"/>
                <w:szCs w:val="20"/>
              </w:rPr>
            </w:pPr>
            <w:r>
              <w:rPr>
                <w:rFonts w:hint="eastAsia"/>
                <w:b/>
                <w:kern w:val="0"/>
                <w:sz w:val="24"/>
              </w:rPr>
              <w:t>2</w:t>
            </w:r>
            <w:r>
              <w:rPr>
                <w:b/>
                <w:kern w:val="0"/>
                <w:sz w:val="24"/>
              </w:rPr>
              <w:t>、废气：</w:t>
            </w:r>
          </w:p>
          <w:p>
            <w:pPr>
              <w:spacing w:line="360" w:lineRule="auto"/>
              <w:ind w:firstLine="480" w:firstLineChars="200"/>
              <w:rPr>
                <w:kern w:val="0"/>
                <w:sz w:val="24"/>
              </w:rPr>
            </w:pPr>
            <w:r>
              <w:rPr>
                <w:rFonts w:hint="eastAsia"/>
                <w:kern w:val="0"/>
                <w:sz w:val="24"/>
              </w:rPr>
              <w:t>项目产生的废气设集排气系统收集后进入废气处理装置处理后引到顶楼高空排放，吊酸废气排放高度</w:t>
            </w:r>
            <w:r>
              <w:rPr>
                <w:rFonts w:hint="eastAsia"/>
                <w:color w:val="000000" w:themeColor="text1"/>
                <w:kern w:val="0"/>
                <w:sz w:val="24"/>
              </w:rPr>
              <w:t>18m。</w:t>
            </w:r>
          </w:p>
          <w:p>
            <w:pPr>
              <w:spacing w:line="360" w:lineRule="auto"/>
              <w:ind w:firstLine="316" w:firstLineChars="150"/>
              <w:jc w:val="center"/>
              <w:rPr>
                <w:sz w:val="24"/>
              </w:rPr>
            </w:pPr>
            <w:r>
              <w:rPr>
                <w:rFonts w:hint="eastAsia"/>
                <w:b/>
                <w:kern w:val="0"/>
                <w:szCs w:val="21"/>
              </w:rPr>
              <w:t>废气处理说明</w:t>
            </w:r>
          </w:p>
          <w:tbl>
            <w:tblPr>
              <w:tblStyle w:val="28"/>
              <w:tblW w:w="9266"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2126"/>
              <w:gridCol w:w="2694"/>
              <w:gridCol w:w="286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6" w:type="dxa"/>
                  <w:vAlign w:val="center"/>
                </w:tcPr>
                <w:p>
                  <w:pPr>
                    <w:spacing w:line="360" w:lineRule="auto"/>
                    <w:jc w:val="center"/>
                    <w:rPr>
                      <w:b/>
                      <w:kern w:val="0"/>
                      <w:sz w:val="28"/>
                    </w:rPr>
                  </w:pPr>
                  <w:r>
                    <w:rPr>
                      <w:b/>
                      <w:kern w:val="0"/>
                      <w:sz w:val="28"/>
                    </w:rPr>
                    <w:t>序号</w:t>
                  </w:r>
                </w:p>
              </w:tc>
              <w:tc>
                <w:tcPr>
                  <w:tcW w:w="2126" w:type="dxa"/>
                  <w:vAlign w:val="center"/>
                </w:tcPr>
                <w:p>
                  <w:pPr>
                    <w:spacing w:line="360" w:lineRule="auto"/>
                    <w:jc w:val="center"/>
                    <w:rPr>
                      <w:b/>
                      <w:kern w:val="0"/>
                      <w:sz w:val="28"/>
                    </w:rPr>
                  </w:pPr>
                  <w:r>
                    <w:rPr>
                      <w:b/>
                      <w:kern w:val="0"/>
                      <w:sz w:val="28"/>
                    </w:rPr>
                    <w:t>工艺</w:t>
                  </w:r>
                </w:p>
              </w:tc>
              <w:tc>
                <w:tcPr>
                  <w:tcW w:w="2694" w:type="dxa"/>
                  <w:vAlign w:val="center"/>
                </w:tcPr>
                <w:p>
                  <w:pPr>
                    <w:spacing w:line="360" w:lineRule="auto"/>
                    <w:jc w:val="center"/>
                    <w:rPr>
                      <w:b/>
                      <w:kern w:val="0"/>
                      <w:sz w:val="28"/>
                    </w:rPr>
                  </w:pPr>
                  <w:r>
                    <w:rPr>
                      <w:b/>
                      <w:kern w:val="0"/>
                      <w:sz w:val="28"/>
                    </w:rPr>
                    <w:t>环保设备</w:t>
                  </w:r>
                </w:p>
              </w:tc>
              <w:tc>
                <w:tcPr>
                  <w:tcW w:w="2860" w:type="dxa"/>
                  <w:vAlign w:val="center"/>
                </w:tcPr>
                <w:p>
                  <w:pPr>
                    <w:spacing w:line="360" w:lineRule="auto"/>
                    <w:jc w:val="center"/>
                    <w:rPr>
                      <w:b/>
                      <w:kern w:val="0"/>
                      <w:sz w:val="28"/>
                    </w:rPr>
                  </w:pPr>
                  <w:r>
                    <w:rPr>
                      <w:rFonts w:hint="eastAsia" w:ascii="宋体" w:hAnsi="宋体" w:cs="宋体"/>
                      <w:b/>
                      <w:bCs/>
                      <w:color w:val="000000"/>
                      <w:kern w:val="0"/>
                      <w:szCs w:val="21"/>
                    </w:rPr>
                    <w:t>工程主要目标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86" w:type="dxa"/>
                  <w:vAlign w:val="center"/>
                </w:tcPr>
                <w:p>
                  <w:pPr>
                    <w:spacing w:line="360" w:lineRule="auto"/>
                    <w:jc w:val="center"/>
                    <w:rPr>
                      <w:rFonts w:asciiTheme="minorEastAsia" w:hAnsiTheme="minorEastAsia" w:eastAsiaTheme="minorEastAsia"/>
                      <w:kern w:val="0"/>
                      <w:sz w:val="24"/>
                    </w:rPr>
                  </w:pPr>
                  <w:r>
                    <w:rPr>
                      <w:rFonts w:hint="eastAsia" w:asciiTheme="minorEastAsia" w:hAnsiTheme="minorEastAsia" w:eastAsiaTheme="minorEastAsia"/>
                      <w:kern w:val="0"/>
                      <w:sz w:val="24"/>
                    </w:rPr>
                    <w:t>1</w:t>
                  </w:r>
                </w:p>
              </w:tc>
              <w:tc>
                <w:tcPr>
                  <w:tcW w:w="2126" w:type="dxa"/>
                  <w:vAlign w:val="center"/>
                </w:tcPr>
                <w:p>
                  <w:pPr>
                    <w:spacing w:line="360" w:lineRule="auto"/>
                    <w:jc w:val="center"/>
                    <w:rPr>
                      <w:rFonts w:asciiTheme="minorEastAsia" w:hAnsiTheme="minorEastAsia" w:eastAsiaTheme="minorEastAsia"/>
                      <w:kern w:val="0"/>
                      <w:sz w:val="24"/>
                    </w:rPr>
                  </w:pPr>
                  <w:r>
                    <w:rPr>
                      <w:rFonts w:asciiTheme="minorEastAsia" w:hAnsiTheme="minorEastAsia" w:eastAsiaTheme="minorEastAsia"/>
                      <w:kern w:val="0"/>
                      <w:sz w:val="24"/>
                    </w:rPr>
                    <w:t>炸酸</w:t>
                  </w:r>
                  <w:r>
                    <w:rPr>
                      <w:rFonts w:hint="eastAsia" w:asciiTheme="minorEastAsia" w:hAnsiTheme="minorEastAsia" w:eastAsiaTheme="minorEastAsia"/>
                      <w:kern w:val="0"/>
                      <w:sz w:val="24"/>
                    </w:rPr>
                    <w:t>、</w:t>
                  </w:r>
                  <w:r>
                    <w:rPr>
                      <w:rFonts w:asciiTheme="minorEastAsia" w:hAnsiTheme="minorEastAsia" w:eastAsiaTheme="minorEastAsia"/>
                      <w:kern w:val="0"/>
                      <w:sz w:val="24"/>
                    </w:rPr>
                    <w:t>熔金</w:t>
                  </w:r>
                </w:p>
              </w:tc>
              <w:tc>
                <w:tcPr>
                  <w:tcW w:w="2694" w:type="dxa"/>
                  <w:vAlign w:val="center"/>
                </w:tcPr>
                <w:p>
                  <w:pPr>
                    <w:spacing w:line="360" w:lineRule="auto"/>
                    <w:jc w:val="center"/>
                    <w:rPr>
                      <w:rFonts w:asciiTheme="minorEastAsia" w:hAnsiTheme="minorEastAsia" w:eastAsiaTheme="minorEastAsia"/>
                      <w:kern w:val="0"/>
                      <w:sz w:val="24"/>
                    </w:rPr>
                  </w:pPr>
                  <w:r>
                    <w:rPr>
                      <w:rFonts w:hint="eastAsia" w:cs="宋体" w:asciiTheme="minorEastAsia" w:hAnsiTheme="minorEastAsia" w:eastAsiaTheme="minorEastAsia"/>
                      <w:color w:val="000000"/>
                      <w:kern w:val="0"/>
                      <w:sz w:val="24"/>
                    </w:rPr>
                    <w:t>喷淋塔+活性炭吸附</w:t>
                  </w:r>
                </w:p>
              </w:tc>
              <w:tc>
                <w:tcPr>
                  <w:tcW w:w="2860" w:type="dxa"/>
                  <w:vAlign w:val="center"/>
                </w:tcPr>
                <w:p>
                  <w:pPr>
                    <w:spacing w:line="360" w:lineRule="auto"/>
                    <w:jc w:val="center"/>
                    <w:rPr>
                      <w:kern w:val="0"/>
                      <w:sz w:val="24"/>
                    </w:rPr>
                  </w:pPr>
                  <w:r>
                    <w:rPr>
                      <w:rFonts w:hint="eastAsia" w:ascii="宋体" w:hAnsi="宋体" w:cs="宋体"/>
                      <w:color w:val="000000"/>
                      <w:kern w:val="0"/>
                      <w:sz w:val="24"/>
                    </w:rPr>
                    <w:t>主要去除溶解性能较好的污染物，如硫酸雾等，深度净化废气，去除白烟，降低目视公害。</w:t>
                  </w:r>
                </w:p>
              </w:tc>
            </w:tr>
          </w:tbl>
          <w:p>
            <w:pPr>
              <w:spacing w:line="360" w:lineRule="auto"/>
              <w:rPr>
                <w:rFonts w:asciiTheme="minorEastAsia" w:hAnsiTheme="minorEastAsia" w:eastAsiaTheme="minorEastAsia"/>
                <w:kern w:val="0"/>
                <w:sz w:val="24"/>
              </w:rPr>
            </w:pPr>
          </w:p>
          <w:p>
            <w:pPr>
              <w:spacing w:line="360" w:lineRule="auto"/>
              <w:rPr>
                <w:rFonts w:asciiTheme="minorEastAsia" w:hAnsiTheme="minorEastAsia" w:eastAsiaTheme="minorEastAsia"/>
                <w:kern w:val="0"/>
                <w:sz w:val="24"/>
              </w:rPr>
            </w:pPr>
            <w:r>
              <w:rPr>
                <w:rFonts w:hint="eastAsia" w:ascii="宋体" w:hAnsi="宋体"/>
                <w:b/>
                <w:sz w:val="24"/>
              </w:rPr>
              <w:t>工艺流程图见下图</w:t>
            </w:r>
            <w:r>
              <w:rPr>
                <w:rFonts w:asciiTheme="minorEastAsia" w:hAnsiTheme="minorEastAsia" w:eastAsiaTheme="minorEastAsia"/>
                <w:kern w:val="0"/>
                <w:sz w:val="24"/>
              </w:rPr>
              <w:t>：</w:t>
            </w:r>
          </w:p>
          <w:p>
            <w:pPr>
              <w:spacing w:line="360" w:lineRule="auto"/>
              <w:rPr>
                <w:rFonts w:asciiTheme="minorEastAsia" w:hAnsiTheme="minorEastAsia" w:eastAsiaTheme="minorEastAsia"/>
                <w:kern w:val="0"/>
                <w:sz w:val="24"/>
              </w:rPr>
            </w:pPr>
            <w:r>
              <w:rPr>
                <w:rFonts w:ascii="宋体" w:hAnsi="宋体"/>
                <w:sz w:val="24"/>
              </w:rPr>
              <w:pict>
                <v:group id="_x0000_s1143" o:spid="_x0000_s1143" o:spt="203" style="height:171.6pt;width:459pt;" coordorigin="2380,1158" coordsize="9180,3432" editas="canvas">
                  <o:lock v:ext="edit"/>
                  <v:shape id="_x0000_s1144" o:spid="_x0000_s1144" o:spt="75" type="#_x0000_t75" style="position:absolute;left:2380;top:1158;height:3432;width:9180;" filled="f" o:preferrelative="f" stroked="f" coordsize="21600,21600">
                    <v:path/>
                    <v:fill on="f" focussize="0,0"/>
                    <v:stroke on="f" joinstyle="miter"/>
                    <v:imagedata o:title=""/>
                    <o:lock v:ext="edit" text="t" aspectratio="t"/>
                  </v:shape>
                  <v:rect id="_x0000_s1145" o:spid="_x0000_s1145" o:spt="1" style="position:absolute;left:2380;top:1782;height:468;width:1035;" coordsize="21600,21600">
                    <v:path/>
                    <v:fill focussize="0,0"/>
                    <v:stroke/>
                    <v:imagedata o:title=""/>
                    <o:lock v:ext="edit"/>
                    <v:textbox>
                      <w:txbxContent>
                        <w:p>
                          <w:pPr>
                            <w:jc w:val="center"/>
                          </w:pPr>
                          <w:r>
                            <w:rPr>
                              <w:rFonts w:hint="eastAsia"/>
                            </w:rPr>
                            <w:t>集气罩</w:t>
                          </w:r>
                        </w:p>
                      </w:txbxContent>
                    </v:textbox>
                  </v:rect>
                  <v:line id="_x0000_s1146" o:spid="_x0000_s1146" o:spt="20" style="position:absolute;left:3415;top:1997;height:1;width:420;" coordsize="21600,21600">
                    <v:path arrowok="t"/>
                    <v:fill focussize="0,0"/>
                    <v:stroke endarrow="block"/>
                    <v:imagedata o:title=""/>
                    <o:lock v:ext="edit"/>
                  </v:line>
                  <v:rect id="_x0000_s1147" o:spid="_x0000_s1147" o:spt="1" style="position:absolute;left:3835;top:1782;height:468;width:1995;" coordsize="21600,21600">
                    <v:path/>
                    <v:fill focussize="0,0"/>
                    <v:stroke/>
                    <v:imagedata o:title=""/>
                    <o:lock v:ext="edit"/>
                    <v:textbox>
                      <w:txbxContent>
                        <w:p>
                          <w:pPr>
                            <w:jc w:val="center"/>
                          </w:pPr>
                          <w:r>
                            <w:rPr>
                              <w:rFonts w:hint="eastAsia"/>
                            </w:rPr>
                            <w:t>喷淋填料塔</w:t>
                          </w:r>
                        </w:p>
                      </w:txbxContent>
                    </v:textbox>
                  </v:rect>
                  <v:line id="_x0000_s1148" o:spid="_x0000_s1148" o:spt="20" style="position:absolute;left:2995;top:2250;flip:y;height:468;width:1;" coordsize="21600,21600">
                    <v:path arrowok="t"/>
                    <v:fill focussize="0,0"/>
                    <v:stroke endarrow="block"/>
                    <v:imagedata o:title=""/>
                    <o:lock v:ext="edit"/>
                  </v:line>
                  <v:rect id="_x0000_s1149" o:spid="_x0000_s1149" o:spt="1" style="position:absolute;left:2575;top:2718;height:468;width:840;" filled="f" stroked="f" coordsize="21600,21600">
                    <v:path/>
                    <v:fill on="f" focussize="0,0"/>
                    <v:stroke on="f"/>
                    <v:imagedata o:title=""/>
                    <o:lock v:ext="edit"/>
                    <v:textbox>
                      <w:txbxContent>
                        <w:p>
                          <w:pPr>
                            <w:jc w:val="center"/>
                          </w:pPr>
                          <w:r>
                            <w:rPr>
                              <w:rFonts w:hint="eastAsia"/>
                            </w:rPr>
                            <w:t>废气</w:t>
                          </w:r>
                        </w:p>
                      </w:txbxContent>
                    </v:textbox>
                  </v:rect>
                  <v:line id="_x0000_s1150" o:spid="_x0000_s1150" o:spt="20" style="position:absolute;left:4570;top:2250;flip:y;height:312;width:1;" coordsize="21600,21600">
                    <v:path arrowok="t"/>
                    <v:fill focussize="0,0"/>
                    <v:stroke endarrow="block"/>
                    <v:imagedata o:title=""/>
                    <o:lock v:ext="edit"/>
                  </v:line>
                  <v:rect id="_x0000_s1151" o:spid="_x0000_s1151" o:spt="1" style="position:absolute;left:3940;top:2562;height:469;width:1365;" coordsize="21600,21600">
                    <v:path/>
                    <v:fill focussize="0,0"/>
                    <v:stroke/>
                    <v:imagedata o:title=""/>
                    <o:lock v:ext="edit"/>
                    <v:textbox>
                      <w:txbxContent>
                        <w:p>
                          <w:pPr>
                            <w:jc w:val="center"/>
                          </w:pPr>
                          <w:r>
                            <w:rPr>
                              <w:rFonts w:hint="eastAsia"/>
                            </w:rPr>
                            <w:t>循环泵</w:t>
                          </w:r>
                        </w:p>
                      </w:txbxContent>
                    </v:textbox>
                  </v:rect>
                  <v:line id="_x0000_s1152" o:spid="_x0000_s1152" o:spt="20" style="position:absolute;left:4570;top:3030;flip:y;height:312;width:1;" coordsize="21600,21600">
                    <v:path arrowok="t"/>
                    <v:fill focussize="0,0"/>
                    <v:stroke endarrow="block"/>
                    <v:imagedata o:title=""/>
                    <o:lock v:ext="edit"/>
                  </v:line>
                  <v:rect id="_x0000_s1153" o:spid="_x0000_s1153" o:spt="1" style="position:absolute;left:3835;top:3342;height:468;width:1995;" coordsize="21600,21600">
                    <v:path/>
                    <v:fill focussize="0,0"/>
                    <v:stroke/>
                    <v:imagedata o:title=""/>
                    <o:lock v:ext="edit"/>
                    <v:textbox>
                      <w:txbxContent>
                        <w:p>
                          <w:pPr>
                            <w:jc w:val="center"/>
                          </w:pPr>
                          <w:r>
                            <w:rPr>
                              <w:rFonts w:hint="eastAsia"/>
                            </w:rPr>
                            <w:t>吸收液循环箱</w:t>
                          </w:r>
                        </w:p>
                      </w:txbxContent>
                    </v:textbox>
                  </v:rect>
                  <v:line id="_x0000_s1154" o:spid="_x0000_s1154" o:spt="20" style="position:absolute;left:3415;top:3556;height:1;width:420;" coordsize="21600,21600">
                    <v:path arrowok="t"/>
                    <v:fill focussize="0,0"/>
                    <v:stroke endarrow="block"/>
                    <v:imagedata o:title=""/>
                    <o:lock v:ext="edit"/>
                  </v:line>
                  <v:rect id="_x0000_s1155" o:spid="_x0000_s1155" o:spt="1" style="position:absolute;left:2575;top:3342;height:468;width:840;" coordsize="21600,21600">
                    <v:path/>
                    <v:fill focussize="0,0"/>
                    <v:stroke/>
                    <v:imagedata o:title=""/>
                    <o:lock v:ext="edit"/>
                    <v:textbox>
                      <w:txbxContent>
                        <w:p>
                          <w:pPr>
                            <w:jc w:val="center"/>
                          </w:pPr>
                          <w:r>
                            <w:rPr>
                              <w:rFonts w:hint="eastAsia"/>
                            </w:rPr>
                            <w:t>清水</w:t>
                          </w:r>
                        </w:p>
                      </w:txbxContent>
                    </v:textbox>
                  </v:rect>
                  <v:line id="_x0000_s1156" o:spid="_x0000_s1156" o:spt="20" style="position:absolute;left:5515;top:2250;height:1092;width:1;" coordsize="21600,21600">
                    <v:path arrowok="t"/>
                    <v:fill focussize="0,0"/>
                    <v:stroke endarrow="block"/>
                    <v:imagedata o:title=""/>
                    <o:lock v:ext="edit"/>
                  </v:line>
                  <v:rect id="_x0000_s1157" o:spid="_x0000_s1157" o:spt="1" style="position:absolute;left:5410;top:2406;height:780;width:525;" filled="f" stroked="f" coordsize="21600,21600">
                    <v:path/>
                    <v:fill on="f" focussize="0,0"/>
                    <v:stroke on="f"/>
                    <v:imagedata o:title=""/>
                    <o:lock v:ext="edit"/>
                    <v:textbox>
                      <w:txbxContent>
                        <w:p>
                          <w:pPr>
                            <w:jc w:val="center"/>
                          </w:pPr>
                          <w:r>
                            <w:rPr>
                              <w:rFonts w:hint="eastAsia"/>
                            </w:rPr>
                            <w:t>回</w:t>
                          </w:r>
                        </w:p>
                        <w:p>
                          <w:pPr>
                            <w:jc w:val="center"/>
                          </w:pPr>
                          <w:r>
                            <w:rPr>
                              <w:rFonts w:hint="eastAsia"/>
                            </w:rPr>
                            <w:t>流</w:t>
                          </w:r>
                        </w:p>
                      </w:txbxContent>
                    </v:textbox>
                  </v:rect>
                  <v:line id="_x0000_s1158" o:spid="_x0000_s1158" o:spt="20" style="position:absolute;left:5830;top:1997;height:1;width:420;" coordsize="21600,21600">
                    <v:path arrowok="t"/>
                    <v:fill focussize="0,0"/>
                    <v:stroke endarrow="block"/>
                    <v:imagedata o:title=""/>
                    <o:lock v:ext="edit"/>
                  </v:line>
                  <v:rect id="_x0000_s1159" o:spid="_x0000_s1159" o:spt="1" style="position:absolute;left:7780;top:1782;height:468;width:2160;" coordsize="21600,21600">
                    <v:path/>
                    <v:fill focussize="0,0"/>
                    <v:stroke/>
                    <v:imagedata o:title=""/>
                    <o:lock v:ext="edit"/>
                    <v:textbox>
                      <w:txbxContent>
                        <w:p>
                          <w:pPr>
                            <w:jc w:val="center"/>
                          </w:pPr>
                          <w:r>
                            <w:rPr>
                              <w:rFonts w:hint="eastAsia"/>
                            </w:rPr>
                            <w:t>鼓泡废气净化塔</w:t>
                          </w:r>
                        </w:p>
                      </w:txbxContent>
                    </v:textbox>
                  </v:rect>
                  <v:line id="_x0000_s1160" o:spid="_x0000_s1160" o:spt="20" style="position:absolute;left:5830;top:3556;flip:x;height:1;width:525;" coordsize="21600,21600">
                    <v:path arrowok="t"/>
                    <v:fill focussize="0,0"/>
                    <v:stroke endarrow="block"/>
                    <v:imagedata o:title=""/>
                    <o:lock v:ext="edit"/>
                  </v:line>
                  <v:rect id="_x0000_s1161" o:spid="_x0000_s1161" o:spt="1" style="position:absolute;left:6355;top:3342;height:468;width:1470;" coordsize="21600,21600">
                    <v:path/>
                    <v:fill focussize="0,0"/>
                    <v:stroke/>
                    <v:imagedata o:title=""/>
                    <o:lock v:ext="edit"/>
                    <v:textbox>
                      <w:txbxContent>
                        <w:p>
                          <w:pPr>
                            <w:jc w:val="center"/>
                          </w:pPr>
                          <w:r>
                            <w:rPr>
                              <w:rFonts w:hint="eastAsia"/>
                            </w:rPr>
                            <w:t>NaOH溶液</w:t>
                          </w:r>
                        </w:p>
                      </w:txbxContent>
                    </v:textbox>
                  </v:rect>
                  <v:line id="_x0000_s1162" o:spid="_x0000_s1162" o:spt="20" style="position:absolute;left:9940;top:1938;height:1;width:495;" coordsize="21600,21600">
                    <v:path arrowok="t"/>
                    <v:fill focussize="0,0"/>
                    <v:stroke endarrow="block"/>
                    <v:imagedata o:title=""/>
                    <o:lock v:ext="edit"/>
                  </v:line>
                  <v:rect id="_x0000_s1163" o:spid="_x0000_s1163" o:spt="1" style="position:absolute;left:10300;top:1782;height:468;width:1155;" filled="f" stroked="f" coordsize="21600,21600">
                    <v:path/>
                    <v:fill on="f" focussize="0,0"/>
                    <v:stroke on="f"/>
                    <v:imagedata o:title=""/>
                    <o:lock v:ext="edit"/>
                    <v:textbox>
                      <w:txbxContent>
                        <w:p>
                          <w:pPr>
                            <w:jc w:val="center"/>
                          </w:pPr>
                          <w:r>
                            <w:rPr>
                              <w:rFonts w:hint="eastAsia"/>
                            </w:rPr>
                            <w:t>高空排放排气</w:t>
                          </w:r>
                        </w:p>
                      </w:txbxContent>
                    </v:textbox>
                  </v:rect>
                  <v:rect id="_x0000_s1164" o:spid="_x0000_s1164" o:spt="1" style="position:absolute;left:3625;top:1626;height:2340;width:2415;" filled="f" coordsize="21600,21600">
                    <v:path/>
                    <v:fill on="f" focussize="0,0"/>
                    <v:stroke dashstyle="dash"/>
                    <v:imagedata o:title=""/>
                    <o:lock v:ext="edit"/>
                  </v:rect>
                  <v:rect id="_x0000_s1165" o:spid="_x0000_s1165" o:spt="1" style="position:absolute;left:3520;top:1158;height:468;width:2730;" filled="f" stroked="f" coordsize="21600,21600">
                    <v:path/>
                    <v:fill on="f" focussize="0,0"/>
                    <v:stroke on="f"/>
                    <v:imagedata o:title=""/>
                    <o:lock v:ext="edit"/>
                    <v:textbox>
                      <w:txbxContent>
                        <w:p>
                          <w:pPr>
                            <w:jc w:val="center"/>
                          </w:pPr>
                          <w:r>
                            <w:rPr>
                              <w:rFonts w:hint="eastAsia"/>
                            </w:rPr>
                            <w:t>HD-珠宝J型废气净化装置</w:t>
                          </w:r>
                        </w:p>
                      </w:txbxContent>
                    </v:textbox>
                  </v:rect>
                  <v:rect id="_x0000_s1166" o:spid="_x0000_s1166" o:spt="1" style="position:absolute;left:4540;top:4122;height:468;width:5040;" filled="f" stroked="f" coordsize="21600,21600">
                    <v:path/>
                    <v:fill on="f" focussize="0,0"/>
                    <v:stroke on="f"/>
                    <v:imagedata o:title=""/>
                    <o:lock v:ext="edit"/>
                    <v:textbox>
                      <w:txbxContent>
                        <w:p>
                          <w:pPr>
                            <w:jc w:val="center"/>
                            <w:rPr>
                              <w:b/>
                              <w:sz w:val="24"/>
                            </w:rPr>
                          </w:pPr>
                          <w:r>
                            <w:rPr>
                              <w:rFonts w:hint="eastAsia"/>
                              <w:b/>
                              <w:sz w:val="24"/>
                            </w:rPr>
                            <w:t>废气处理工艺流程图</w:t>
                          </w:r>
                        </w:p>
                      </w:txbxContent>
                    </v:textbox>
                  </v:rect>
                  <v:rect id="_x0000_s1167" o:spid="_x0000_s1167" o:spt="1" style="position:absolute;left:6340;top:1782;height:468;width:840;" coordsize="21600,21600">
                    <v:path/>
                    <v:fill focussize="0,0"/>
                    <v:stroke/>
                    <v:imagedata o:title=""/>
                    <o:lock v:ext="edit"/>
                    <v:textbox>
                      <w:txbxContent>
                        <w:p>
                          <w:pPr>
                            <w:jc w:val="center"/>
                          </w:pPr>
                          <w:r>
                            <w:rPr>
                              <w:rFonts w:hint="eastAsia"/>
                            </w:rPr>
                            <w:t>风机</w:t>
                          </w:r>
                        </w:p>
                      </w:txbxContent>
                    </v:textbox>
                  </v:rect>
                  <v:line id="_x0000_s1168" o:spid="_x0000_s1168" o:spt="20" style="position:absolute;left:7240;top:1938;height:1;width:420;" coordsize="21600,21600">
                    <v:path arrowok="t"/>
                    <v:fill focussize="0,0"/>
                    <v:stroke endarrow="block"/>
                    <v:imagedata o:title=""/>
                    <o:lock v:ext="edit"/>
                  </v:line>
                  <w10:wrap type="none"/>
                  <w10:anchorlock/>
                </v:group>
              </w:pict>
            </w:r>
          </w:p>
          <w:p>
            <w:pPr>
              <w:spacing w:line="360" w:lineRule="auto"/>
              <w:ind w:firstLine="480" w:firstLineChars="200"/>
              <w:rPr>
                <w:sz w:val="28"/>
                <w:szCs w:val="28"/>
              </w:rPr>
            </w:pPr>
            <w:r>
              <w:rPr>
                <w:rFonts w:hint="eastAsia"/>
                <w:sz w:val="24"/>
              </w:rPr>
              <w:t>该工艺生产过程中</w:t>
            </w:r>
            <w:r>
              <w:rPr>
                <w:rFonts w:hint="eastAsia" w:ascii="宋体" w:hAnsi="宋体"/>
                <w:sz w:val="24"/>
              </w:rPr>
              <w:t>排出的混合气体经集气罩收集后从塔体下方进气口沿切向进入HD废气净化装置，在通风机的动力作用下，迅速充满进气段空间，然后均匀地通过流段上升到吸收塔填料吸收段。在填料的表面上，混合气体与液箱中洗涤吸附液发生化学反应。反应生成物（多数为可溶性盐类）随吸收液流入下部贮液槽。未完全吸收的废气气体继续进入鼓泡废气净化装置，废气经高压风机的动力作用下，经过鼓泡净化器专设的鼓泡系统，使废气从细小气孔漫漫鼓出，废气与碱液充分混合，接触发生化学反应，废气中的硫酸雾酸性气体得以去除。</w:t>
            </w:r>
            <w:r>
              <w:rPr>
                <w:rFonts w:hint="eastAsia" w:ascii="宋体" w:hAnsi="宋体"/>
                <w:spacing w:val="-2"/>
                <w:sz w:val="24"/>
              </w:rPr>
              <w:t>经过处理后的清洁空气排入大气。</w:t>
            </w:r>
          </w:p>
          <w:p>
            <w:pPr>
              <w:spacing w:line="360" w:lineRule="auto"/>
              <w:ind w:firstLine="360" w:firstLineChars="150"/>
              <w:rPr>
                <w:rFonts w:asciiTheme="minorEastAsia" w:hAnsiTheme="minorEastAsia" w:eastAsiaTheme="minorEastAsia"/>
                <w:kern w:val="0"/>
                <w:sz w:val="24"/>
              </w:rPr>
            </w:pPr>
            <w:r>
              <w:rPr>
                <w:rFonts w:asciiTheme="minorEastAsia" w:hAnsiTheme="minorEastAsia" w:eastAsiaTheme="minorEastAsia"/>
                <w:kern w:val="0"/>
                <w:sz w:val="24"/>
              </w:rPr>
              <w:drawing>
                <wp:inline distT="0" distB="0" distL="0" distR="0">
                  <wp:extent cx="6089650" cy="4567555"/>
                  <wp:effectExtent l="19050" t="0" r="6350" b="0"/>
                  <wp:docPr id="6" name="图片 5" descr="保税区13栋4楼IMG_20170406_14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保税区13栋4楼IMG_20170406_143940.jpg"/>
                          <pic:cNvPicPr>
                            <a:picLocks noChangeAspect="1"/>
                          </pic:cNvPicPr>
                        </pic:nvPicPr>
                        <pic:blipFill>
                          <a:blip r:embed="rId11" cstate="print"/>
                          <a:stretch>
                            <a:fillRect/>
                          </a:stretch>
                        </pic:blipFill>
                        <pic:spPr>
                          <a:xfrm>
                            <a:off x="0" y="0"/>
                            <a:ext cx="6089650" cy="4567555"/>
                          </a:xfrm>
                          <a:prstGeom prst="rect">
                            <a:avLst/>
                          </a:prstGeom>
                        </pic:spPr>
                      </pic:pic>
                    </a:graphicData>
                  </a:graphic>
                </wp:inline>
              </w:drawing>
            </w:r>
          </w:p>
          <w:p>
            <w:pPr>
              <w:spacing w:line="360" w:lineRule="auto"/>
              <w:ind w:firstLine="310" w:firstLineChars="147"/>
              <w:jc w:val="center"/>
              <w:rPr>
                <w:b/>
                <w:kern w:val="0"/>
                <w:szCs w:val="21"/>
                <w:lang w:val="en-GB"/>
              </w:rPr>
            </w:pPr>
            <w:r>
              <w:rPr>
                <w:rFonts w:hint="eastAsia"/>
                <w:b/>
                <w:kern w:val="0"/>
                <w:szCs w:val="21"/>
                <w:lang w:val="en-GB"/>
              </w:rPr>
              <w:t>炸酸工序处理设施</w:t>
            </w:r>
          </w:p>
          <w:p>
            <w:pPr>
              <w:autoSpaceDE w:val="0"/>
              <w:autoSpaceDN w:val="0"/>
              <w:adjustRightInd w:val="0"/>
              <w:spacing w:line="360" w:lineRule="auto"/>
              <w:jc w:val="left"/>
              <w:rPr>
                <w:b/>
                <w:kern w:val="0"/>
                <w:sz w:val="20"/>
                <w:szCs w:val="20"/>
              </w:rPr>
            </w:pPr>
            <w:r>
              <w:rPr>
                <w:rFonts w:hint="eastAsia"/>
                <w:b/>
                <w:kern w:val="0"/>
                <w:sz w:val="24"/>
              </w:rPr>
              <w:t>3</w:t>
            </w:r>
            <w:r>
              <w:rPr>
                <w:b/>
                <w:kern w:val="0"/>
                <w:sz w:val="24"/>
              </w:rPr>
              <w:t>、噪声：</w:t>
            </w:r>
          </w:p>
          <w:p>
            <w:pPr>
              <w:spacing w:line="360" w:lineRule="auto"/>
              <w:ind w:firstLine="360" w:firstLineChars="150"/>
              <w:rPr>
                <w:rFonts w:asciiTheme="minorEastAsia" w:hAnsiTheme="minorEastAsia" w:eastAsiaTheme="minorEastAsia"/>
                <w:kern w:val="0"/>
                <w:sz w:val="24"/>
              </w:rPr>
            </w:pPr>
            <w:r>
              <w:rPr>
                <w:rFonts w:asciiTheme="minorEastAsia" w:hAnsiTheme="minorEastAsia" w:eastAsiaTheme="minorEastAsia"/>
                <w:kern w:val="0"/>
                <w:sz w:val="24"/>
              </w:rPr>
              <w:t>项目</w:t>
            </w:r>
            <w:r>
              <w:rPr>
                <w:rFonts w:hint="eastAsia" w:ascii="宋体" w:hAnsi="宋体"/>
                <w:sz w:val="24"/>
              </w:rPr>
              <w:t>生产过程中压片机、冲床等设备在运转的过程中产生噪声</w:t>
            </w:r>
            <w:r>
              <w:rPr>
                <w:rFonts w:hint="eastAsia" w:asciiTheme="minorEastAsia" w:hAnsiTheme="minorEastAsia" w:eastAsiaTheme="minorEastAsia"/>
                <w:kern w:val="0"/>
                <w:sz w:val="24"/>
              </w:rPr>
              <w:t>。</w:t>
            </w:r>
            <w:r>
              <w:rPr>
                <w:rFonts w:asciiTheme="minorEastAsia" w:hAnsiTheme="minorEastAsia" w:eastAsiaTheme="minorEastAsia"/>
                <w:kern w:val="0"/>
                <w:sz w:val="24"/>
              </w:rPr>
              <w:t>加强设备润滑和维护保养，减少机械摩擦声，减少噪声对环境的影响。</w:t>
            </w:r>
          </w:p>
          <w:p>
            <w:pPr>
              <w:spacing w:line="360" w:lineRule="auto"/>
              <w:ind w:firstLine="361" w:firstLineChars="150"/>
              <w:rPr>
                <w:rFonts w:asciiTheme="minorEastAsia" w:hAnsiTheme="minorEastAsia" w:eastAsiaTheme="minorEastAsia"/>
                <w:kern w:val="0"/>
                <w:sz w:val="24"/>
              </w:rPr>
            </w:pPr>
            <w:r>
              <w:rPr>
                <w:b/>
                <w:kern w:val="0"/>
                <w:sz w:val="24"/>
              </w:rPr>
              <w:pict>
                <v:shape id="AutoShape 962" o:spid="_x0000_s1037" o:spt="32" type="#_x0000_t32" style="position:absolute;left:0pt;margin-left:154.5pt;margin-top:20.7pt;height:0pt;width:21pt;z-index:251743232;mso-width-relative:page;mso-height-relative:page;" filled="f" coordsize="21600,21600" o:gfxdata="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2iaT9YAAAAHAQAADwAAAAAAAAABACAAAAAiAAAAZHJz&#10;L2Rvd25yZXYueG1sUEsBAhQAFAAAAAgAh07iQAfH8l/NAQAAmQMAAA4AAAAAAAAAAQAgAAAAJQEA&#10;AGRycy9lMm9Eb2MueG1sUEsFBgAAAAAGAAYAWQEAAGQFAAAAAA==&#10;">
                  <v:path arrowok="t"/>
                  <v:fill on="f" focussize="0,0"/>
                  <v:stroke endarrow="block"/>
                  <v:imagedata o:title=""/>
                  <o:lock v:ext="edit"/>
                </v:shape>
              </w:pict>
            </w:r>
            <w:r>
              <w:rPr>
                <w:b/>
                <w:kern w:val="0"/>
                <w:sz w:val="24"/>
              </w:rPr>
              <w:pict>
                <v:shape id="自选图形 193" o:spid="_x0000_s1038" o:spt="32" type="#_x0000_t32" style="position:absolute;left:0pt;margin-left:271.65pt;margin-top:20.7pt;height:0pt;width:24.1pt;z-index:251745280;mso-width-relative:page;mso-height-relative:page;" filled="f" coordsize="21600,21600" o:gfxdata="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B/CetUAAAAHAQAA&#10;DwAAAAAAAAABACAAAAAiAAAAZHJzL2Rvd25yZXYueG1sUEsBAhQAFAAAAAgAh07iQIP26VXjAQAA&#10;nQMAAA4AAAAAAAAAAQAgAAAAJAEAAGRycy9lMm9Eb2MueG1sUEsFBgAAAAAGAAYAWQEAAHkFAAAA&#10;AA==&#10;">
                  <v:path arrowok="t"/>
                  <v:fill on="f" focussize="0,0"/>
                  <v:stroke weight="1.25pt" endarrow="block"/>
                  <v:imagedata o:title=""/>
                  <o:lock v:ext="edit"/>
                </v:shape>
              </w:pict>
            </w:r>
            <w:r>
              <w:rPr>
                <w:b/>
                <w:kern w:val="0"/>
                <w:sz w:val="24"/>
              </w:rPr>
              <w:pict>
                <v:shape id="Quad Arrow 165" o:spid="_x0000_s1040" o:spt="202" type="#_x0000_t202" style="position:absolute;left:0pt;margin-left:301pt;margin-top:9.05pt;height:27.4pt;width:44.25pt;z-index:251744256;mso-width-relative:page;mso-height-relative:page;" coordsize="21600,21600" o:gfxdata="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qg5h&#10;1wAAAAkBAAAPAAAAAAAAAAEAIAAAACIAAABkcnMvZG93bnJldi54bWxQSwECFAAUAAAACACHTuJA&#10;PprME+kBAADsAwAADgAAAAAAAAABACAAAAAmAQAAZHJzL2Uyb0RvYy54bWxQSwUGAAAAAAYABgBZ&#10;AQAAgQUAAAAA&#10;">
                  <v:path/>
                  <v:fill focussize="0,0"/>
                  <v:stroke joinstyle="miter"/>
                  <v:imagedata o:title=""/>
                  <o:lock v:ext="edit"/>
                  <v:textbox>
                    <w:txbxContent>
                      <w:p>
                        <w:pPr>
                          <w:jc w:val="center"/>
                          <w:rPr>
                            <w:sz w:val="18"/>
                            <w:szCs w:val="18"/>
                          </w:rPr>
                        </w:pPr>
                        <w:r>
                          <w:rPr>
                            <w:rFonts w:hint="eastAsia"/>
                            <w:sz w:val="18"/>
                            <w:szCs w:val="18"/>
                          </w:rPr>
                          <w:t>排放</w:t>
                        </w:r>
                      </w:p>
                    </w:txbxContent>
                  </v:textbox>
                </v:shape>
              </w:pict>
            </w:r>
            <w:r>
              <w:rPr>
                <w:b/>
                <w:kern w:val="0"/>
                <w:sz w:val="24"/>
              </w:rPr>
              <w:pict>
                <v:shape id="Quad Arrow 192" o:spid="_x0000_s1039" o:spt="202" type="#_x0000_t202" style="position:absolute;left:0pt;margin-left:183.9pt;margin-top:9.05pt;height:27.05pt;width:87.75pt;z-index:251742208;mso-width-relative:page;mso-height-relative:page;" coordsize="21600,21600" o:gfxdata="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GCjK2AAA&#10;AAkBAAAPAAAAAAAAAAEAIAAAACIAAABkcnMvZG93bnJldi54bWxQSwECFAAUAAAACACHTuJAmk57&#10;4OUBAADtAwAADgAAAAAAAAABACAAAAAnAQAAZHJzL2Uyb0RvYy54bWxQSwUGAAAAAAYABgBZAQAA&#10;fgUAAAAA&#10;">
                  <v:path/>
                  <v:fill focussize="0,0"/>
                  <v:stroke joinstyle="miter"/>
                  <v:imagedata o:title=""/>
                  <o:lock v:ext="edit"/>
                  <v:textbox>
                    <w:txbxContent>
                      <w:p>
                        <w:pPr>
                          <w:rPr>
                            <w:sz w:val="18"/>
                            <w:szCs w:val="18"/>
                          </w:rPr>
                        </w:pPr>
                        <w:r>
                          <w:rPr>
                            <w:rFonts w:hint="eastAsia"/>
                            <w:sz w:val="18"/>
                            <w:szCs w:val="18"/>
                          </w:rPr>
                          <w:t>减振、消声、隔声</w:t>
                        </w:r>
                      </w:p>
                    </w:txbxContent>
                  </v:textbox>
                </v:shape>
              </w:pict>
            </w:r>
            <w:r>
              <w:rPr>
                <w:b/>
                <w:kern w:val="0"/>
                <w:sz w:val="24"/>
              </w:rPr>
              <w:pict>
                <v:shape id="Text Box 960" o:spid="_x0000_s1041" o:spt="202" type="#_x0000_t202" style="position:absolute;left:0pt;margin-left:39.75pt;margin-top:9.05pt;height:27.05pt;width:110.5pt;z-index:251741184;mso-width-relative:page;mso-height-relative:page;" coordsize="21600,21600" o:gfxdata="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WXSu2QAAAAkB&#10;AAAPAAAAAAAAAAEAIAAAACIAAABkcnMvZG93bnJldi54bWxQSwECFAAUAAAACACHTuJASlhFWOEB&#10;AADrAwAADgAAAAAAAAABACAAAAAoAQAAZHJzL2Uyb0RvYy54bWxQSwUGAAAAAAYABgBZAQAAewUA&#10;AAAA&#10;">
                  <v:path/>
                  <v:fill focussize="0,0"/>
                  <v:stroke joinstyle="miter"/>
                  <v:imagedata o:title=""/>
                  <o:lock v:ext="edit"/>
                  <v:textbox>
                    <w:txbxContent>
                      <w:p>
                        <w:pPr>
                          <w:rPr>
                            <w:sz w:val="18"/>
                            <w:szCs w:val="18"/>
                          </w:rPr>
                        </w:pPr>
                        <w:r>
                          <w:rPr>
                            <w:rFonts w:hint="eastAsia"/>
                            <w:sz w:val="18"/>
                            <w:szCs w:val="18"/>
                          </w:rPr>
                          <w:t>压片机、冲床等设备</w:t>
                        </w:r>
                      </w:p>
                    </w:txbxContent>
                  </v:textbox>
                </v:shape>
              </w:pict>
            </w:r>
          </w:p>
          <w:p>
            <w:pPr>
              <w:spacing w:line="360" w:lineRule="auto"/>
              <w:ind w:firstLine="360" w:firstLineChars="150"/>
              <w:rPr>
                <w:rFonts w:asciiTheme="minorEastAsia" w:hAnsiTheme="minorEastAsia" w:eastAsiaTheme="minorEastAsia"/>
                <w:kern w:val="0"/>
                <w:sz w:val="24"/>
              </w:rPr>
            </w:pPr>
          </w:p>
          <w:p>
            <w:pPr>
              <w:autoSpaceDE w:val="0"/>
              <w:autoSpaceDN w:val="0"/>
              <w:adjustRightInd w:val="0"/>
              <w:spacing w:line="360" w:lineRule="auto"/>
              <w:jc w:val="left"/>
              <w:rPr>
                <w:b/>
                <w:kern w:val="0"/>
                <w:sz w:val="24"/>
              </w:rPr>
            </w:pPr>
          </w:p>
          <w:p>
            <w:pPr>
              <w:autoSpaceDE w:val="0"/>
              <w:autoSpaceDN w:val="0"/>
              <w:adjustRightInd w:val="0"/>
              <w:spacing w:line="360" w:lineRule="auto"/>
              <w:jc w:val="left"/>
              <w:rPr>
                <w:b/>
                <w:kern w:val="0"/>
                <w:sz w:val="20"/>
                <w:szCs w:val="20"/>
              </w:rPr>
            </w:pPr>
            <w:r>
              <w:rPr>
                <w:rFonts w:hint="eastAsia"/>
                <w:b/>
                <w:kern w:val="0"/>
                <w:sz w:val="24"/>
              </w:rPr>
              <w:t>4</w:t>
            </w:r>
            <w:r>
              <w:rPr>
                <w:b/>
                <w:kern w:val="0"/>
                <w:sz w:val="24"/>
              </w:rPr>
              <w:t>、固体废物污染防治措施：</w:t>
            </w:r>
          </w:p>
          <w:p>
            <w:pPr>
              <w:spacing w:line="360" w:lineRule="auto"/>
              <w:ind w:firstLine="480" w:firstLineChars="200"/>
              <w:rPr>
                <w:sz w:val="24"/>
              </w:rPr>
            </w:pPr>
            <w:r>
              <w:rPr>
                <w:rFonts w:hint="eastAsia"/>
                <w:sz w:val="24"/>
              </w:rPr>
              <w:t>1、</w:t>
            </w:r>
            <w:r>
              <w:rPr>
                <w:sz w:val="24"/>
              </w:rPr>
              <w:t>生活垃圾：设置生活垃圾收集场所或容器，并做到生活垃圾收集容器化，生活垃圾的收集与转运应并入当地环卫管理系统统一安排。</w:t>
            </w:r>
          </w:p>
          <w:p>
            <w:pPr>
              <w:spacing w:line="360" w:lineRule="auto"/>
              <w:ind w:firstLine="480" w:firstLineChars="200"/>
              <w:rPr>
                <w:sz w:val="24"/>
              </w:rPr>
            </w:pPr>
            <w:r>
              <w:rPr>
                <w:rFonts w:hint="eastAsia"/>
                <w:sz w:val="24"/>
              </w:rPr>
              <w:t>2、一般</w:t>
            </w:r>
            <w:r>
              <w:rPr>
                <w:sz w:val="24"/>
              </w:rPr>
              <w:t>工业废物：具有回收价值，建议收集后交给专门的物资回收公司回收利用，实现资源化，减少废弃物排放。</w:t>
            </w:r>
          </w:p>
          <w:p>
            <w:pPr>
              <w:spacing w:line="360" w:lineRule="auto"/>
              <w:ind w:firstLine="360" w:firstLineChars="150"/>
              <w:rPr>
                <w:sz w:val="24"/>
              </w:rPr>
            </w:pPr>
            <w:r>
              <w:rPr>
                <w:sz w:val="24"/>
              </w:rPr>
              <w:t>3</w:t>
            </w:r>
            <w:r>
              <w:rPr>
                <w:rFonts w:hint="eastAsia"/>
                <w:sz w:val="24"/>
              </w:rPr>
              <w:t>、</w:t>
            </w:r>
            <w:r>
              <w:rPr>
                <w:sz w:val="24"/>
              </w:rPr>
              <w:t>危险废物：</w:t>
            </w:r>
            <w:r>
              <w:rPr>
                <w:rFonts w:hint="eastAsia"/>
                <w:sz w:val="24"/>
              </w:rPr>
              <w:t>项目危险废物统一收集后交由有危险废物处理资质的单位进行处理处置。</w:t>
            </w:r>
          </w:p>
          <w:p>
            <w:pPr>
              <w:spacing w:line="360" w:lineRule="auto"/>
              <w:rPr>
                <w:rFonts w:asciiTheme="minorEastAsia" w:hAnsiTheme="minorEastAsia" w:eastAsiaTheme="minorEastAsia"/>
                <w:kern w:val="0"/>
                <w:sz w:val="24"/>
              </w:rPr>
            </w:pPr>
            <w:r>
              <w:rPr>
                <w:rFonts w:hint="eastAsia"/>
                <w:sz w:val="24"/>
              </w:rPr>
              <w:t>进行处理处置</w:t>
            </w:r>
            <w:r>
              <w:rPr>
                <w:sz w:val="24"/>
              </w:rPr>
              <w:t>，并持危险废物转移处理协议和转移联单。</w:t>
            </w:r>
          </w:p>
        </w:tc>
      </w:tr>
    </w:tbl>
    <w:p>
      <w:pPr>
        <w:autoSpaceDE w:val="0"/>
        <w:autoSpaceDN w:val="0"/>
        <w:spacing w:line="360" w:lineRule="auto"/>
        <w:jc w:val="left"/>
        <w:rPr>
          <w:b/>
          <w:kern w:val="0"/>
          <w:sz w:val="28"/>
          <w:szCs w:val="22"/>
        </w:rPr>
      </w:pPr>
    </w:p>
    <w:p>
      <w:pPr>
        <w:autoSpaceDE w:val="0"/>
        <w:autoSpaceDN w:val="0"/>
        <w:spacing w:line="360" w:lineRule="auto"/>
        <w:jc w:val="left"/>
        <w:rPr>
          <w:rFonts w:hint="eastAsia"/>
          <w:b/>
          <w:kern w:val="0"/>
          <w:sz w:val="28"/>
          <w:szCs w:val="22"/>
        </w:rPr>
      </w:pPr>
      <w:r>
        <w:rPr>
          <w:b/>
          <w:kern w:val="0"/>
          <w:sz w:val="28"/>
          <w:szCs w:val="22"/>
          <w:lang w:eastAsia="en-US"/>
        </w:rPr>
        <w:t>表三</w:t>
      </w:r>
      <w:r>
        <w:rPr>
          <w:rFonts w:hint="eastAsia"/>
          <w:b/>
          <w:kern w:val="0"/>
          <w:sz w:val="28"/>
          <w:szCs w:val="22"/>
        </w:rPr>
        <w:t xml:space="preserve"> 监测点位图</w:t>
      </w:r>
    </w:p>
    <w:tbl>
      <w:tblPr>
        <w:tblStyle w:val="27"/>
        <w:tblW w:w="9483"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084" w:hRule="atLeast"/>
          <w:jc w:val="center"/>
        </w:trPr>
        <w:tc>
          <w:tcPr>
            <w:tcW w:w="9483" w:type="dxa"/>
          </w:tcPr>
          <w:tbl>
            <w:tblPr>
              <w:tblStyle w:val="27"/>
              <w:tblW w:w="9483"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8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084" w:hRule="atLeast"/>
                <w:jc w:val="center"/>
              </w:trPr>
              <w:tc>
                <w:tcPr>
                  <w:tcW w:w="9483" w:type="dxa"/>
                </w:tcPr>
                <w:p>
                  <w:pPr>
                    <w:autoSpaceDE w:val="0"/>
                    <w:autoSpaceDN w:val="0"/>
                    <w:adjustRightInd w:val="0"/>
                    <w:spacing w:line="360" w:lineRule="auto"/>
                    <w:jc w:val="left"/>
                    <w:rPr>
                      <w:b/>
                      <w:kern w:val="0"/>
                      <w:sz w:val="24"/>
                      <w:szCs w:val="22"/>
                    </w:rPr>
                  </w:pPr>
                  <w:r>
                    <w:rPr>
                      <w:b/>
                      <w:kern w:val="0"/>
                      <w:sz w:val="24"/>
                      <w:szCs w:val="22"/>
                      <w:lang w:eastAsia="en-US"/>
                    </w:rPr>
                    <w:t>监测点位图</w:t>
                  </w:r>
                </w:p>
                <w:p>
                  <w:pPr>
                    <w:autoSpaceDE w:val="0"/>
                    <w:autoSpaceDN w:val="0"/>
                    <w:adjustRightInd w:val="0"/>
                    <w:spacing w:line="360" w:lineRule="auto"/>
                    <w:jc w:val="center"/>
                    <w:rPr>
                      <w:b/>
                      <w:kern w:val="0"/>
                      <w:sz w:val="20"/>
                      <w:szCs w:val="20"/>
                    </w:rPr>
                  </w:pPr>
                  <w:r>
                    <w:rPr>
                      <w:b/>
                      <w:kern w:val="0"/>
                      <w:sz w:val="24"/>
                      <w:szCs w:val="22"/>
                    </w:rPr>
                    <w:pict>
                      <v:shape id="文本框 502" o:spid="_x0000_s1036" o:spt="202" type="#_x0000_t202" style="position:absolute;left:0pt;margin-left:194.1pt;margin-top:93.4pt;height:21.25pt;width:26.85pt;z-index:251837440;mso-width-relative:page;mso-height-relative:page;" filled="f" stroked="f" coordsize="21600,21600" o:gfxdata="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RoPvjNgAAAALAQAADwAAAAAAAAABACAA&#10;AAAiAAAAZHJzL2Rvd25yZXYueG1sUEsBAhQAFAAAAAgAh07iQP3dlCKbAQAADAMAAA4AAAAAAAAA&#10;AQAgAAAAJwEAAGRycy9lMm9Eb2MueG1sUEsFBgAAAAAGAAYAWQEAADQFAAAAAA==&#10;">
                        <v:path/>
                        <v:fill on="f" focussize="0,0"/>
                        <v:stroke on="f" joinstyle="miter"/>
                        <v:imagedata o:title=""/>
                        <o:lock v:ext="edit"/>
                        <v:textbox>
                          <w:txbxContent>
                            <w:p>
                              <w:pPr>
                                <w:rPr>
                                  <w:color w:val="FF0000"/>
                                  <w:szCs w:val="18"/>
                                </w:rPr>
                              </w:pPr>
                              <w:r>
                                <w:rPr>
                                  <w:rFonts w:hint="eastAsia"/>
                                  <w:color w:val="FF0000"/>
                                  <w:szCs w:val="18"/>
                                </w:rPr>
                                <w:t>★</w:t>
                              </w:r>
                            </w:p>
                          </w:txbxContent>
                        </v:textbox>
                      </v:shape>
                    </w:pict>
                  </w:r>
                  <w:r>
                    <w:rPr>
                      <w:b/>
                      <w:kern w:val="0"/>
                      <w:sz w:val="24"/>
                      <w:szCs w:val="22"/>
                    </w:rPr>
                    <w:pict>
                      <v:shape id="文本框 501" o:spid="_x0000_s1035" o:spt="202" type="#_x0000_t202" style="position:absolute;left:0pt;margin-left:185.2pt;margin-top:136.15pt;height:19.55pt;width:25.35pt;z-index:251836416;mso-width-relative:page;mso-height-relative:page;" filled="f" stroked="f" coordsize="21600,21600" o:gfxdata="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jICs/XAAAACwEAAA8AAAAAAAAAAQAg&#10;AAAAIgAAAGRycy9kb3ducmV2LnhtbFBLAQIUABQAAAAIAIdO4kBpzTtznQEAAAwDAAAOAAAAAAAA&#10;AAEAIAAAACYBAABkcnMvZTJvRG9jLnhtbFBLBQYAAAAABgAGAFkBAAA1BQAAAAA=&#10;">
                        <v:path/>
                        <v:fill on="f" focussize="0,0"/>
                        <v:stroke on="f" joinstyle="miter"/>
                        <v:imagedata o:title=""/>
                        <o:lock v:ext="edit"/>
                        <v:textbox>
                          <w:txbxContent>
                            <w:p>
                              <w:pPr>
                                <w:rPr>
                                  <w:color w:val="FF0000"/>
                                  <w:sz w:val="18"/>
                                  <w:szCs w:val="18"/>
                                </w:rPr>
                              </w:pPr>
                              <w:r>
                                <w:rPr>
                                  <w:rFonts w:hint="eastAsia"/>
                                  <w:color w:val="FF0000"/>
                                  <w:sz w:val="18"/>
                                  <w:szCs w:val="18"/>
                                </w:rPr>
                                <w:t>◎</w:t>
                              </w:r>
                            </w:p>
                          </w:txbxContent>
                        </v:textbox>
                      </v:shape>
                    </w:pict>
                  </w:r>
                  <w:r>
                    <w:rPr>
                      <w:b/>
                      <w:kern w:val="0"/>
                      <w:sz w:val="24"/>
                      <w:szCs w:val="22"/>
                    </w:rPr>
                    <w:pict>
                      <v:shape id="文本框 500" o:spid="_x0000_s1034" o:spt="202" type="#_x0000_t202" style="position:absolute;left:0pt;margin-left:161.95pt;margin-top:114.9pt;height:21.25pt;width:59pt;z-index:251835392;mso-width-relative:page;mso-height-relative:page;" filled="f" stroked="f" coordsize="21600,21600" o:gfxdata="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EPnOv/XAAAACwEAAA8AAAAAAAAAAQAgAAAA&#10;IgAAAGRycy9kb3ducmV2LnhtbFBLAQIUABQAAAAIAIdO4kAojdqemgEAAAwDAAAOAAAAAAAAAAEA&#10;IAAAACYBAABkcnMvZTJvRG9jLnhtbFBLBQYAAAAABgAGAFkBAAAyBQAAAAA=&#10;">
                        <v:path/>
                        <v:fill on="f" focussize="0,0"/>
                        <v:stroke on="f" joinstyle="miter"/>
                        <v:imagedata o:title=""/>
                        <o:lock v:ext="edit"/>
                        <v:textbox>
                          <w:txbxContent>
                            <w:p>
                              <w:pPr>
                                <w:rPr>
                                  <w:color w:val="FF0000"/>
                                  <w:szCs w:val="18"/>
                                </w:rPr>
                              </w:pPr>
                              <w:r>
                                <w:rPr>
                                  <w:rFonts w:hint="eastAsia"/>
                                  <w:color w:val="FF0000"/>
                                  <w:szCs w:val="18"/>
                                </w:rPr>
                                <w:t>▲4#</w:t>
                              </w:r>
                            </w:p>
                          </w:txbxContent>
                        </v:textbox>
                      </v:shape>
                    </w:pict>
                  </w:r>
                  <w:r>
                    <w:rPr>
                      <w:b/>
                      <w:kern w:val="0"/>
                      <w:sz w:val="24"/>
                      <w:szCs w:val="22"/>
                    </w:rPr>
                    <w:pict>
                      <v:shape id="文本框 499" o:spid="_x0000_s1033" o:spt="202" type="#_x0000_t202" style="position:absolute;left:0pt;margin-left:144.1pt;margin-top:167.65pt;height:21.25pt;width:59pt;z-index:251834368;mso-width-relative:page;mso-height-relative:page;" filled="f" stroked="f" coordsize="21600,21600" o:gfxdata="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vDrCi2AAAAAsBAAAPAAAAAAAAAAEAIAAA&#10;ACIAAABkcnMvZG93bnJldi54bWxQSwECFAAUAAAACACHTuJAcs0SCJoBAAAMAwAADgAAAAAAAAAB&#10;ACAAAAAnAQAAZHJzL2Uyb0RvYy54bWxQSwUGAAAAAAYABgBZAQAAMwUAAAAA&#10;">
                        <v:path/>
                        <v:fill on="f" focussize="0,0"/>
                        <v:stroke on="f" joinstyle="miter"/>
                        <v:imagedata o:title=""/>
                        <o:lock v:ext="edit"/>
                        <v:textbox>
                          <w:txbxContent>
                            <w:p>
                              <w:pPr>
                                <w:rPr>
                                  <w:color w:val="FF0000"/>
                                  <w:szCs w:val="18"/>
                                </w:rPr>
                              </w:pPr>
                              <w:r>
                                <w:rPr>
                                  <w:rFonts w:hint="eastAsia"/>
                                  <w:color w:val="FF0000"/>
                                  <w:szCs w:val="18"/>
                                </w:rPr>
                                <w:t>▲3#</w:t>
                              </w:r>
                            </w:p>
                          </w:txbxContent>
                        </v:textbox>
                      </v:shape>
                    </w:pict>
                  </w:r>
                  <w:r>
                    <w:rPr>
                      <w:b/>
                      <w:kern w:val="0"/>
                      <w:sz w:val="24"/>
                      <w:szCs w:val="22"/>
                    </w:rPr>
                    <w:pict>
                      <v:shape id="文本框 498" o:spid="_x0000_s1032" o:spt="202" type="#_x0000_t202" style="position:absolute;left:0pt;margin-left:234.7pt;margin-top:159.8pt;height:21.25pt;width:43.5pt;z-index:251833344;mso-width-relative:page;mso-height-relative:page;" filled="f" stroked="f" coordsize="21600,21600" o:gfxdata="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ZKiuDdcAAAALAQAADwAAAAAAAAABACAA&#10;AAAiAAAAZHJzL2Rvd25yZXYueG1sUEsBAhQAFAAAAAgAh07iQPE2fw2cAQAADAMAAA4AAAAAAAAA&#10;AQAgAAAAJgEAAGRycy9lMm9Eb2MueG1sUEsFBgAAAAAGAAYAWQEAADQFAAAAAA==&#10;">
                        <v:path/>
                        <v:fill on="f" focussize="0,0"/>
                        <v:stroke on="f" joinstyle="miter"/>
                        <v:imagedata o:title=""/>
                        <o:lock v:ext="edit"/>
                        <v:textbox>
                          <w:txbxContent>
                            <w:p>
                              <w:pPr>
                                <w:rPr>
                                  <w:color w:val="FF0000"/>
                                  <w:szCs w:val="18"/>
                                </w:rPr>
                              </w:pPr>
                              <w:r>
                                <w:rPr>
                                  <w:rFonts w:hint="eastAsia"/>
                                  <w:color w:val="FF0000"/>
                                  <w:szCs w:val="18"/>
                                </w:rPr>
                                <w:t>▲2#</w:t>
                              </w:r>
                            </w:p>
                          </w:txbxContent>
                        </v:textbox>
                      </v:shape>
                    </w:pict>
                  </w:r>
                  <w:r>
                    <w:rPr>
                      <w:b/>
                      <w:kern w:val="0"/>
                      <w:sz w:val="24"/>
                      <w:szCs w:val="22"/>
                    </w:rPr>
                    <w:pict>
                      <v:shape id="文本框 497" o:spid="_x0000_s1031" o:spt="202" type="#_x0000_t202" style="position:absolute;left:0pt;margin-left:240.7pt;margin-top:93.4pt;height:21.25pt;width:51.8pt;z-index:251832320;mso-width-relative:page;mso-height-relative:page;" filled="f" stroked="f" coordsize="21600,21600" o:gfxdata="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jUx0RdgAAAALAQAADwAAAAAAAAABACAA&#10;AAAiAAAAZHJzL2Rvd25yZXYueG1sUEsBAhQAFAAAAAgAh07iQNXmA3qbAQAADAMAAA4AAAAAAAAA&#10;AQAgAAAAJwEAAGRycy9lMm9Eb2MueG1sUEsFBgAAAAAGAAYAWQEAADQFAAAAAA==&#10;">
                        <v:path/>
                        <v:fill on="f" focussize="0,0"/>
                        <v:stroke on="f" joinstyle="miter"/>
                        <v:imagedata o:title=""/>
                        <o:lock v:ext="edit"/>
                        <v:textbox>
                          <w:txbxContent>
                            <w:p>
                              <w:pPr>
                                <w:rPr>
                                  <w:color w:val="FF0000"/>
                                  <w:szCs w:val="18"/>
                                </w:rPr>
                              </w:pPr>
                              <w:r>
                                <w:rPr>
                                  <w:rFonts w:hint="eastAsia"/>
                                  <w:color w:val="FF0000"/>
                                  <w:szCs w:val="18"/>
                                </w:rPr>
                                <w:t>▲</w:t>
                              </w:r>
                              <w:r>
                                <w:rPr>
                                  <w:color w:val="FF0000"/>
                                  <w:szCs w:val="18"/>
                                </w:rPr>
                                <w:t>1</w:t>
                              </w:r>
                              <w:r>
                                <w:rPr>
                                  <w:rFonts w:hint="eastAsia"/>
                                  <w:color w:val="FF0000"/>
                                  <w:szCs w:val="18"/>
                                </w:rPr>
                                <w:t>#</w:t>
                              </w:r>
                            </w:p>
                          </w:txbxContent>
                        </v:textbox>
                      </v:shape>
                    </w:pict>
                  </w:r>
                  <w:r>
                    <w:rPr>
                      <w:b/>
                      <w:kern w:val="0"/>
                      <w:sz w:val="24"/>
                      <w:szCs w:val="22"/>
                    </w:rPr>
                    <w:pict>
                      <v:shape id="Text Box 17" o:spid="_x0000_s1030" o:spt="202" type="#_x0000_t202" style="position:absolute;left:0pt;margin-left:367.45pt;margin-top:66.55pt;height:34.5pt;width:51.75pt;z-index:251831296;mso-width-relative:page;mso-height-relative:page;" filled="f" stroked="f" coordsize="21600,21600" o:gfxdata="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jvMM72AAAAAsBAAAPAAAAAAAAAAEAIAAAACIAAABkcnMvZG93bnJldi54bWxQSwECFAAU&#10;AAAACACHTuJAJnOQEPEBAADWAwAADgAAAAAAAAABACAAAAAnAQAAZHJzL2Uyb0RvYy54bWxQSwUG&#10;AAAAAAYABgBZAQAAigUAAAAA&#10;">
                        <v:path/>
                        <v:fill on="f" focussize="0,0"/>
                        <v:stroke on="f" joinstyle="miter"/>
                        <v:imagedata o:title=""/>
                        <o:lock v:ext="edit"/>
                        <v:textbox>
                          <w:txbxContent>
                            <w:p>
                              <w:pPr>
                                <w:rPr>
                                  <w:b/>
                                  <w:color w:val="FF0000"/>
                                  <w:sz w:val="28"/>
                                  <w:szCs w:val="18"/>
                                </w:rPr>
                              </w:pPr>
                              <w:r>
                                <w:rPr>
                                  <w:rFonts w:hint="eastAsia"/>
                                  <w:b/>
                                  <w:color w:val="FF0000"/>
                                  <w:sz w:val="28"/>
                                  <w:szCs w:val="18"/>
                                </w:rPr>
                                <w:t>N</w:t>
                              </w:r>
                            </w:p>
                          </w:txbxContent>
                        </v:textbox>
                      </v:shape>
                    </w:pict>
                  </w:r>
                  <w:r>
                    <w:rPr>
                      <w:b/>
                      <w:kern w:val="0"/>
                      <w:sz w:val="24"/>
                      <w:szCs w:val="22"/>
                    </w:rPr>
                    <w:pict>
                      <v:shape id="自选图形 495" o:spid="_x0000_s1029" o:spt="68" type="#_x0000_t68" style="position:absolute;left:0pt;margin-left:367.45pt;margin-top:20.5pt;height:35.25pt;width:6.75pt;z-index:251830272;v-text-anchor:middle;mso-width-relative:page;mso-height-relative:page;" fillcolor="#FF0000" filled="t" stroked="t" coordsize="21600,21600" o:gfxdata="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lQ7v2gAAAAoB&#10;AAAPAAAAAAAAAAEAIAAAACIAAABkcnMvZG93bnJldi54bWxQSwECFAAUAAAACACHTuJAWEG8/hkC&#10;AAA6BAAADgAAAAAAAAABACAAAAApAQAAZHJzL2Uyb0RvYy54bWxQSwUGAAAAAAYABgBZAQAAtAUA&#10;AAAA&#10;" adj="2067">
                        <v:path/>
                        <v:fill on="t" focussize="0,0"/>
                        <v:stroke weight="2pt" color="#FF0000" joinstyle="miter"/>
                        <v:imagedata o:title=""/>
                        <o:lock v:ext="edit"/>
                      </v:shape>
                    </w:pict>
                  </w:r>
                  <w:r>
                    <w:rPr>
                      <w:b/>
                      <w:kern w:val="0"/>
                      <w:sz w:val="20"/>
                      <w:szCs w:val="20"/>
                    </w:rPr>
                    <w:drawing>
                      <wp:inline distT="0" distB="0" distL="0" distR="0">
                        <wp:extent cx="4914900" cy="3390900"/>
                        <wp:effectExtent l="19050" t="0" r="0" b="0"/>
                        <wp:docPr id="10" name="图片 2" descr="金万龙珠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金万龙珠宝.png"/>
                                <pic:cNvPicPr>
                                  <a:picLocks noChangeAspect="1"/>
                                </pic:cNvPicPr>
                              </pic:nvPicPr>
                              <pic:blipFill>
                                <a:blip r:embed="rId12"/>
                                <a:stretch>
                                  <a:fillRect/>
                                </a:stretch>
                              </pic:blipFill>
                              <pic:spPr>
                                <a:xfrm>
                                  <a:off x="0" y="0"/>
                                  <a:ext cx="4914900" cy="3390900"/>
                                </a:xfrm>
                                <a:prstGeom prst="rect">
                                  <a:avLst/>
                                </a:prstGeom>
                              </pic:spPr>
                            </pic:pic>
                          </a:graphicData>
                        </a:graphic>
                      </wp:inline>
                    </w:drawing>
                  </w:r>
                </w:p>
                <w:p>
                  <w:pPr>
                    <w:autoSpaceDE w:val="0"/>
                    <w:autoSpaceDN w:val="0"/>
                    <w:spacing w:line="360" w:lineRule="auto"/>
                    <w:rPr>
                      <w:b/>
                      <w:kern w:val="0"/>
                      <w:sz w:val="24"/>
                      <w:szCs w:val="22"/>
                    </w:rPr>
                  </w:pPr>
                  <w:r>
                    <w:rPr>
                      <w:b/>
                      <w:kern w:val="0"/>
                      <w:sz w:val="24"/>
                      <w:szCs w:val="22"/>
                    </w:rPr>
                    <w:pict>
                      <v:rect id="矩形 506" o:spid="_x0000_s1028" o:spt="1" style="position:absolute;left:0pt;margin-left:281.95pt;margin-top:67.4pt;height:95.25pt;width:161.25pt;z-index:251838464;mso-width-relative:page;mso-height-relative:page;" filled="t" stroked="f" coordsize="21600,21600" o:gfxdata="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KNqJQ2wAAAAsBAAAPAAAAAAAAAAEAIAAA&#10;ACIAAABkcnMvZG93bnJldi54bWxQSwECFAAUAAAACACHTuJA+G9geQkCAAAqBAAADgAAAAAAAAAB&#10;ACAAAAAqAQAAZHJzL2Uyb0RvYy54bWxQSwUGAAAAAAYABgBZAQAApQUAAAAA&#10;">
                        <v:path/>
                        <v:fill type="gradient" on="t" color2="#767676" opacity="0f" o:opacity2="0f" focus="100%" focussize="0f,0f"/>
                        <v:stroke on="f" weight="1.25pt"/>
                        <v:imagedata o:title=""/>
                        <o:lock v:ext="edit"/>
                        <v:textbox>
                          <w:txbxContent>
                            <w:p>
                              <w:pPr>
                                <w:ind w:firstLine="90" w:firstLineChars="50"/>
                                <w:rPr>
                                  <w:sz w:val="18"/>
                                  <w:szCs w:val="18"/>
                                </w:rPr>
                              </w:pPr>
                              <w:r>
                                <w:rPr>
                                  <w:sz w:val="18"/>
                                  <w:szCs w:val="18"/>
                                </w:rPr>
                                <w:t>图例：</w:t>
                              </w:r>
                            </w:p>
                            <w:p>
                              <w:pPr>
                                <w:rPr>
                                  <w:sz w:val="18"/>
                                  <w:szCs w:val="18"/>
                                </w:rPr>
                              </w:pPr>
                              <w:r>
                                <w:rPr>
                                  <w:sz w:val="18"/>
                                  <w:szCs w:val="18"/>
                                </w:rPr>
                                <w:t>“</w:t>
                              </w:r>
                              <w:r>
                                <w:rPr>
                                  <w:rFonts w:hint="eastAsia"/>
                                  <w:color w:val="FF0000"/>
                                  <w:sz w:val="18"/>
                                  <w:szCs w:val="18"/>
                                </w:rPr>
                                <w:t>★</w:t>
                              </w:r>
                              <w:r>
                                <w:rPr>
                                  <w:sz w:val="18"/>
                                  <w:szCs w:val="18"/>
                                </w:rPr>
                                <w:t>”为废水监测点位</w:t>
                              </w:r>
                            </w:p>
                            <w:p>
                              <w:pPr>
                                <w:rPr>
                                  <w:sz w:val="18"/>
                                  <w:szCs w:val="18"/>
                                </w:rPr>
                              </w:pPr>
                              <w:r>
                                <w:rPr>
                                  <w:sz w:val="18"/>
                                  <w:szCs w:val="18"/>
                                </w:rPr>
                                <w:t>“</w:t>
                              </w:r>
                              <w:r>
                                <w:rPr>
                                  <w:rFonts w:hint="eastAsia"/>
                                  <w:color w:val="FF0000"/>
                                  <w:sz w:val="18"/>
                                  <w:szCs w:val="18"/>
                                </w:rPr>
                                <w:t>◎</w:t>
                              </w:r>
                              <w:r>
                                <w:rPr>
                                  <w:sz w:val="18"/>
                                  <w:szCs w:val="18"/>
                                </w:rPr>
                                <w:t>”为</w:t>
                              </w:r>
                              <w:r>
                                <w:rPr>
                                  <w:rFonts w:hint="eastAsia"/>
                                  <w:sz w:val="18"/>
                                  <w:szCs w:val="18"/>
                                </w:rPr>
                                <w:t>有</w:t>
                              </w:r>
                              <w:r>
                                <w:rPr>
                                  <w:sz w:val="18"/>
                                  <w:szCs w:val="18"/>
                                </w:rPr>
                                <w:t>组织废气监测点</w:t>
                              </w:r>
                              <w:r>
                                <w:rPr>
                                  <w:rFonts w:hint="eastAsia"/>
                                  <w:sz w:val="18"/>
                                  <w:szCs w:val="18"/>
                                </w:rPr>
                                <w:t>位</w:t>
                              </w:r>
                            </w:p>
                            <w:p>
                              <w:pPr>
                                <w:rPr>
                                  <w:sz w:val="18"/>
                                  <w:szCs w:val="18"/>
                                </w:rPr>
                              </w:pPr>
                              <w:r>
                                <w:rPr>
                                  <w:sz w:val="18"/>
                                  <w:szCs w:val="18"/>
                                </w:rPr>
                                <w:t>“</w:t>
                              </w:r>
                              <w:r>
                                <w:rPr>
                                  <w:rFonts w:hint="eastAsia"/>
                                  <w:color w:val="FF0000"/>
                                  <w:sz w:val="18"/>
                                  <w:szCs w:val="18"/>
                                </w:rPr>
                                <w:t>▲</w:t>
                              </w:r>
                              <w:r>
                                <w:rPr>
                                  <w:sz w:val="18"/>
                                  <w:szCs w:val="18"/>
                                </w:rPr>
                                <w:t>”为噪声监测点位</w:t>
                              </w:r>
                            </w:p>
                            <w:p>
                              <w:pPr/>
                            </w:p>
                          </w:txbxContent>
                        </v:textbox>
                      </v:rect>
                    </w:pict>
                  </w:r>
                  <w:r>
                    <w:rPr>
                      <w:b/>
                      <w:kern w:val="0"/>
                      <w:sz w:val="24"/>
                      <w:szCs w:val="22"/>
                    </w:rPr>
                    <w:pict>
                      <v:rect id="矩形 210" o:spid="_x0000_s1027" o:spt="1" style="position:absolute;left:0pt;margin-left:79.45pt;margin-top:174.4pt;height:20.25pt;width:45.75pt;z-index:251756544;mso-width-relative:page;mso-height-relative:page;" filled="t" stroked="f" coordsize="21600,21600" o:gfxdata="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7cFH2wAAAAsBAAAPAAAAAAAAAAEAIAAAACIAAABkcnMv&#10;ZG93bnJldi54bWxQSwECFAAUAAAACACHTuJAIHCJNQACAAAdBAAADgAAAAAAAAABACAAAAAqAQAA&#10;ZHJzL2Uyb0RvYy54bWxQSwUGAAAAAAYABgBZAQAAnAUAAAAA&#10;">
                        <v:path/>
                        <v:fill type="gradient" on="t" color2="#767676" opacity="0f" o:opacity2="0f" focus="100%" focussize="0f,0f"/>
                        <v:stroke on="f" weight="1.25pt"/>
                        <v:imagedata o:title=""/>
                        <o:lock v:ext="edit"/>
                      </v:rect>
                    </w:pict>
                  </w:r>
                </w:p>
              </w:tc>
            </w:tr>
          </w:tbl>
          <w:p>
            <w:pPr/>
          </w:p>
        </w:tc>
      </w:tr>
    </w:tbl>
    <w:p>
      <w:pPr>
        <w:autoSpaceDE w:val="0"/>
        <w:autoSpaceDN w:val="0"/>
        <w:spacing w:before="11"/>
        <w:jc w:val="left"/>
        <w:rPr>
          <w:b/>
          <w:kern w:val="0"/>
          <w:sz w:val="28"/>
        </w:rPr>
      </w:pPr>
    </w:p>
    <w:p>
      <w:pPr>
        <w:autoSpaceDE w:val="0"/>
        <w:autoSpaceDN w:val="0"/>
        <w:spacing w:before="11"/>
        <w:jc w:val="left"/>
        <w:rPr>
          <w:b/>
          <w:kern w:val="0"/>
          <w:sz w:val="28"/>
          <w:szCs w:val="28"/>
        </w:rPr>
      </w:pPr>
      <w:r>
        <w:rPr>
          <w:b/>
          <w:kern w:val="0"/>
          <w:sz w:val="28"/>
          <w:szCs w:val="28"/>
        </w:rPr>
        <w:t>表四 监测内容、监测工况及监测结果</w:t>
      </w:r>
    </w:p>
    <w:tbl>
      <w:tblPr>
        <w:tblStyle w:val="27"/>
        <w:tblW w:w="9481" w:type="dxa"/>
        <w:jc w:val="center"/>
        <w:tblInd w:w="0" w:type="dxa"/>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
      <w:tblGrid>
        <w:gridCol w:w="9481"/>
      </w:tblGrid>
      <w:tr>
        <w:tblPrEx>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Ex>
        <w:trPr>
          <w:trHeight w:val="12620" w:hRule="atLeast"/>
          <w:jc w:val="center"/>
        </w:trPr>
        <w:tc>
          <w:tcPr>
            <w:tcW w:w="9481" w:type="dxa"/>
          </w:tcPr>
          <w:p>
            <w:pPr>
              <w:autoSpaceDE w:val="0"/>
              <w:autoSpaceDN w:val="0"/>
              <w:spacing w:line="360" w:lineRule="auto"/>
              <w:jc w:val="left"/>
              <w:rPr>
                <w:b/>
                <w:kern w:val="0"/>
                <w:sz w:val="24"/>
                <w:szCs w:val="22"/>
              </w:rPr>
            </w:pPr>
            <w:r>
              <w:rPr>
                <w:b/>
                <w:kern w:val="0"/>
                <w:sz w:val="24"/>
                <w:szCs w:val="22"/>
              </w:rPr>
              <w:t>1、废水监测内容一览表：</w:t>
            </w:r>
          </w:p>
          <w:tbl>
            <w:tblPr>
              <w:tblStyle w:val="27"/>
              <w:tblW w:w="9090"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74"/>
              <w:gridCol w:w="2055"/>
              <w:gridCol w:w="2849"/>
              <w:gridCol w:w="1787"/>
              <w:gridCol w:w="132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1074" w:type="dxa"/>
                  <w:vAlign w:val="center"/>
                </w:tcPr>
                <w:p>
                  <w:pPr>
                    <w:autoSpaceDE w:val="0"/>
                    <w:autoSpaceDN w:val="0"/>
                    <w:jc w:val="center"/>
                    <w:rPr>
                      <w:kern w:val="0"/>
                      <w:sz w:val="22"/>
                      <w:szCs w:val="21"/>
                    </w:rPr>
                  </w:pPr>
                  <w:r>
                    <w:rPr>
                      <w:kern w:val="0"/>
                      <w:sz w:val="22"/>
                      <w:szCs w:val="21"/>
                    </w:rPr>
                    <w:t>类别</w:t>
                  </w:r>
                </w:p>
              </w:tc>
              <w:tc>
                <w:tcPr>
                  <w:tcW w:w="2055" w:type="dxa"/>
                  <w:vAlign w:val="center"/>
                </w:tcPr>
                <w:p>
                  <w:pPr>
                    <w:autoSpaceDE w:val="0"/>
                    <w:autoSpaceDN w:val="0"/>
                    <w:jc w:val="center"/>
                    <w:rPr>
                      <w:kern w:val="0"/>
                      <w:sz w:val="22"/>
                      <w:szCs w:val="21"/>
                    </w:rPr>
                  </w:pPr>
                  <w:r>
                    <w:rPr>
                      <w:kern w:val="0"/>
                      <w:sz w:val="22"/>
                      <w:szCs w:val="21"/>
                    </w:rPr>
                    <w:t>监测点位</w:t>
                  </w:r>
                </w:p>
              </w:tc>
              <w:tc>
                <w:tcPr>
                  <w:tcW w:w="2849" w:type="dxa"/>
                  <w:vAlign w:val="center"/>
                </w:tcPr>
                <w:p>
                  <w:pPr>
                    <w:autoSpaceDE w:val="0"/>
                    <w:autoSpaceDN w:val="0"/>
                    <w:jc w:val="center"/>
                    <w:rPr>
                      <w:kern w:val="0"/>
                      <w:sz w:val="22"/>
                      <w:szCs w:val="21"/>
                    </w:rPr>
                  </w:pPr>
                  <w:r>
                    <w:rPr>
                      <w:kern w:val="0"/>
                      <w:sz w:val="22"/>
                      <w:szCs w:val="21"/>
                    </w:rPr>
                    <w:t>项目</w:t>
                  </w:r>
                </w:p>
              </w:tc>
              <w:tc>
                <w:tcPr>
                  <w:tcW w:w="1787" w:type="dxa"/>
                  <w:vAlign w:val="center"/>
                </w:tcPr>
                <w:p>
                  <w:pPr>
                    <w:autoSpaceDE w:val="0"/>
                    <w:autoSpaceDN w:val="0"/>
                    <w:jc w:val="center"/>
                    <w:rPr>
                      <w:kern w:val="0"/>
                      <w:sz w:val="22"/>
                      <w:szCs w:val="21"/>
                    </w:rPr>
                  </w:pPr>
                  <w:r>
                    <w:rPr>
                      <w:kern w:val="0"/>
                      <w:sz w:val="22"/>
                      <w:szCs w:val="21"/>
                    </w:rPr>
                    <w:t>采样日期和频次</w:t>
                  </w:r>
                </w:p>
              </w:tc>
              <w:tc>
                <w:tcPr>
                  <w:tcW w:w="1325" w:type="dxa"/>
                  <w:vAlign w:val="center"/>
                </w:tcPr>
                <w:p>
                  <w:pPr>
                    <w:autoSpaceDE w:val="0"/>
                    <w:autoSpaceDN w:val="0"/>
                    <w:jc w:val="center"/>
                    <w:rPr>
                      <w:kern w:val="0"/>
                      <w:sz w:val="22"/>
                      <w:szCs w:val="21"/>
                    </w:rPr>
                  </w:pPr>
                  <w:r>
                    <w:rPr>
                      <w:kern w:val="0"/>
                      <w:sz w:val="22"/>
                      <w:szCs w:val="21"/>
                    </w:rPr>
                    <w:t>采样设备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1074" w:type="dxa"/>
                  <w:vAlign w:val="center"/>
                </w:tcPr>
                <w:p>
                  <w:pPr>
                    <w:autoSpaceDE w:val="0"/>
                    <w:autoSpaceDN w:val="0"/>
                    <w:jc w:val="center"/>
                    <w:rPr>
                      <w:kern w:val="0"/>
                      <w:sz w:val="22"/>
                      <w:szCs w:val="21"/>
                    </w:rPr>
                  </w:pPr>
                  <w:r>
                    <w:rPr>
                      <w:kern w:val="0"/>
                      <w:sz w:val="22"/>
                      <w:szCs w:val="21"/>
                    </w:rPr>
                    <w:t>废水</w:t>
                  </w:r>
                </w:p>
              </w:tc>
              <w:tc>
                <w:tcPr>
                  <w:tcW w:w="2055" w:type="dxa"/>
                  <w:vAlign w:val="center"/>
                </w:tcPr>
                <w:p>
                  <w:pPr>
                    <w:autoSpaceDE w:val="0"/>
                    <w:autoSpaceDN w:val="0"/>
                    <w:jc w:val="center"/>
                    <w:rPr>
                      <w:kern w:val="0"/>
                      <w:sz w:val="22"/>
                      <w:szCs w:val="21"/>
                    </w:rPr>
                  </w:pPr>
                  <w:r>
                    <w:rPr>
                      <w:rFonts w:ascii="Segoe UI Symbol" w:hAnsi="Segoe UI Symbol" w:cs="Segoe UI Symbol"/>
                      <w:kern w:val="0"/>
                      <w:sz w:val="22"/>
                      <w:szCs w:val="21"/>
                    </w:rPr>
                    <w:t>★</w:t>
                  </w:r>
                  <w:r>
                    <w:rPr>
                      <w:kern w:val="0"/>
                      <w:sz w:val="22"/>
                      <w:szCs w:val="21"/>
                    </w:rPr>
                    <w:t>生活污水排放口</w:t>
                  </w:r>
                </w:p>
              </w:tc>
              <w:tc>
                <w:tcPr>
                  <w:tcW w:w="2849" w:type="dxa"/>
                  <w:vAlign w:val="center"/>
                </w:tcPr>
                <w:p>
                  <w:pPr>
                    <w:widowControl/>
                    <w:autoSpaceDE w:val="0"/>
                    <w:autoSpaceDN w:val="0"/>
                    <w:jc w:val="center"/>
                    <w:rPr>
                      <w:kern w:val="0"/>
                      <w:sz w:val="22"/>
                      <w:szCs w:val="21"/>
                    </w:rPr>
                  </w:pPr>
                  <w:r>
                    <w:rPr>
                      <w:kern w:val="0"/>
                      <w:sz w:val="22"/>
                      <w:szCs w:val="21"/>
                    </w:rPr>
                    <w:t>pH值、SS、CODcr、</w:t>
                  </w:r>
                  <w:r>
                    <w:rPr>
                      <w:rFonts w:hint="eastAsia"/>
                      <w:kern w:val="0"/>
                      <w:sz w:val="22"/>
                      <w:szCs w:val="21"/>
                    </w:rPr>
                    <w:t>氨氮、LAS</w:t>
                  </w:r>
                </w:p>
              </w:tc>
              <w:tc>
                <w:tcPr>
                  <w:tcW w:w="1787" w:type="dxa"/>
                  <w:vAlign w:val="center"/>
                </w:tcPr>
                <w:p>
                  <w:pPr>
                    <w:widowControl/>
                    <w:autoSpaceDE w:val="0"/>
                    <w:autoSpaceDN w:val="0"/>
                    <w:jc w:val="center"/>
                    <w:rPr>
                      <w:kern w:val="0"/>
                      <w:sz w:val="22"/>
                      <w:szCs w:val="21"/>
                    </w:rPr>
                  </w:pPr>
                  <w:r>
                    <w:rPr>
                      <w:kern w:val="0"/>
                      <w:sz w:val="22"/>
                      <w:szCs w:val="21"/>
                    </w:rPr>
                    <w:t>每天监测4次，连续2天</w:t>
                  </w:r>
                </w:p>
              </w:tc>
              <w:tc>
                <w:tcPr>
                  <w:tcW w:w="1325" w:type="dxa"/>
                  <w:vAlign w:val="center"/>
                </w:tcPr>
                <w:p>
                  <w:pPr>
                    <w:widowControl/>
                    <w:autoSpaceDE w:val="0"/>
                    <w:autoSpaceDN w:val="0"/>
                    <w:jc w:val="center"/>
                    <w:rPr>
                      <w:kern w:val="0"/>
                      <w:sz w:val="22"/>
                      <w:szCs w:val="21"/>
                    </w:rPr>
                  </w:pPr>
                  <w:r>
                    <w:rPr>
                      <w:kern w:val="0"/>
                      <w:sz w:val="22"/>
                      <w:szCs w:val="21"/>
                    </w:rPr>
                    <w:t>—</w:t>
                  </w:r>
                </w:p>
              </w:tc>
            </w:tr>
          </w:tbl>
          <w:p>
            <w:pPr>
              <w:autoSpaceDE w:val="0"/>
              <w:autoSpaceDN w:val="0"/>
              <w:spacing w:line="360" w:lineRule="auto"/>
              <w:jc w:val="left"/>
              <w:rPr>
                <w:b/>
                <w:kern w:val="0"/>
                <w:sz w:val="24"/>
                <w:szCs w:val="22"/>
              </w:rPr>
            </w:pPr>
          </w:p>
          <w:p>
            <w:pPr>
              <w:autoSpaceDE w:val="0"/>
              <w:autoSpaceDN w:val="0"/>
              <w:spacing w:line="360" w:lineRule="auto"/>
              <w:jc w:val="left"/>
              <w:rPr>
                <w:b/>
                <w:kern w:val="0"/>
                <w:sz w:val="24"/>
                <w:szCs w:val="22"/>
              </w:rPr>
            </w:pPr>
            <w:r>
              <w:rPr>
                <w:b/>
                <w:kern w:val="0"/>
                <w:sz w:val="24"/>
                <w:szCs w:val="22"/>
              </w:rPr>
              <w:t>2、有组织废气监测内容一览表：</w:t>
            </w:r>
          </w:p>
          <w:tbl>
            <w:tblPr>
              <w:tblStyle w:val="27"/>
              <w:tblW w:w="9090"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88"/>
              <w:gridCol w:w="2127"/>
              <w:gridCol w:w="2763"/>
              <w:gridCol w:w="1787"/>
              <w:gridCol w:w="1325"/>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1088" w:type="dxa"/>
                  <w:vAlign w:val="center"/>
                </w:tcPr>
                <w:p>
                  <w:pPr>
                    <w:autoSpaceDE w:val="0"/>
                    <w:autoSpaceDN w:val="0"/>
                    <w:jc w:val="center"/>
                    <w:rPr>
                      <w:kern w:val="0"/>
                      <w:sz w:val="22"/>
                      <w:szCs w:val="21"/>
                    </w:rPr>
                  </w:pPr>
                  <w:r>
                    <w:rPr>
                      <w:kern w:val="0"/>
                      <w:sz w:val="22"/>
                      <w:szCs w:val="21"/>
                    </w:rPr>
                    <w:t>类别</w:t>
                  </w:r>
                </w:p>
              </w:tc>
              <w:tc>
                <w:tcPr>
                  <w:tcW w:w="2127" w:type="dxa"/>
                  <w:vAlign w:val="center"/>
                </w:tcPr>
                <w:p>
                  <w:pPr>
                    <w:autoSpaceDE w:val="0"/>
                    <w:autoSpaceDN w:val="0"/>
                    <w:jc w:val="center"/>
                    <w:rPr>
                      <w:kern w:val="0"/>
                      <w:sz w:val="22"/>
                      <w:szCs w:val="21"/>
                    </w:rPr>
                  </w:pPr>
                  <w:r>
                    <w:rPr>
                      <w:kern w:val="0"/>
                      <w:sz w:val="22"/>
                      <w:szCs w:val="21"/>
                    </w:rPr>
                    <w:t>监测点位</w:t>
                  </w:r>
                </w:p>
              </w:tc>
              <w:tc>
                <w:tcPr>
                  <w:tcW w:w="2763" w:type="dxa"/>
                  <w:vAlign w:val="center"/>
                </w:tcPr>
                <w:p>
                  <w:pPr>
                    <w:autoSpaceDE w:val="0"/>
                    <w:autoSpaceDN w:val="0"/>
                    <w:jc w:val="center"/>
                    <w:rPr>
                      <w:kern w:val="0"/>
                      <w:sz w:val="22"/>
                      <w:szCs w:val="21"/>
                    </w:rPr>
                  </w:pPr>
                  <w:r>
                    <w:rPr>
                      <w:kern w:val="0"/>
                      <w:sz w:val="22"/>
                      <w:szCs w:val="21"/>
                    </w:rPr>
                    <w:t>项目</w:t>
                  </w:r>
                </w:p>
              </w:tc>
              <w:tc>
                <w:tcPr>
                  <w:tcW w:w="1787" w:type="dxa"/>
                  <w:vAlign w:val="center"/>
                </w:tcPr>
                <w:p>
                  <w:pPr>
                    <w:autoSpaceDE w:val="0"/>
                    <w:autoSpaceDN w:val="0"/>
                    <w:jc w:val="center"/>
                    <w:rPr>
                      <w:kern w:val="0"/>
                      <w:sz w:val="22"/>
                      <w:szCs w:val="21"/>
                    </w:rPr>
                  </w:pPr>
                  <w:r>
                    <w:rPr>
                      <w:kern w:val="0"/>
                      <w:sz w:val="22"/>
                      <w:szCs w:val="21"/>
                    </w:rPr>
                    <w:t>采样日期和频次</w:t>
                  </w:r>
                </w:p>
              </w:tc>
              <w:tc>
                <w:tcPr>
                  <w:tcW w:w="1325" w:type="dxa"/>
                  <w:vAlign w:val="center"/>
                </w:tcPr>
                <w:p>
                  <w:pPr>
                    <w:autoSpaceDE w:val="0"/>
                    <w:autoSpaceDN w:val="0"/>
                    <w:jc w:val="center"/>
                    <w:rPr>
                      <w:kern w:val="0"/>
                      <w:sz w:val="22"/>
                      <w:szCs w:val="21"/>
                    </w:rPr>
                  </w:pPr>
                  <w:r>
                    <w:rPr>
                      <w:kern w:val="0"/>
                      <w:sz w:val="22"/>
                      <w:szCs w:val="21"/>
                    </w:rPr>
                    <w:t>采样设备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47" w:hRule="atLeast"/>
                <w:jc w:val="center"/>
              </w:trPr>
              <w:tc>
                <w:tcPr>
                  <w:tcW w:w="1088" w:type="dxa"/>
                  <w:vMerge w:val="restart"/>
                  <w:vAlign w:val="center"/>
                </w:tcPr>
                <w:p>
                  <w:pPr>
                    <w:autoSpaceDE w:val="0"/>
                    <w:autoSpaceDN w:val="0"/>
                    <w:jc w:val="center"/>
                    <w:rPr>
                      <w:kern w:val="0"/>
                      <w:sz w:val="22"/>
                      <w:szCs w:val="21"/>
                    </w:rPr>
                  </w:pPr>
                  <w:r>
                    <w:rPr>
                      <w:kern w:val="0"/>
                      <w:sz w:val="22"/>
                      <w:szCs w:val="21"/>
                    </w:rPr>
                    <w:t>有组织废气</w:t>
                  </w:r>
                </w:p>
              </w:tc>
              <w:tc>
                <w:tcPr>
                  <w:tcW w:w="2127" w:type="dxa"/>
                  <w:vAlign w:val="center"/>
                </w:tcPr>
                <w:p>
                  <w:pPr>
                    <w:autoSpaceDE w:val="0"/>
                    <w:autoSpaceDN w:val="0"/>
                    <w:jc w:val="center"/>
                    <w:rPr>
                      <w:rFonts w:ascii="宋体" w:hAnsi="宋体" w:cs="宋体"/>
                      <w:kern w:val="0"/>
                      <w:sz w:val="22"/>
                      <w:szCs w:val="21"/>
                    </w:rPr>
                  </w:pPr>
                  <w:r>
                    <w:rPr>
                      <w:rFonts w:hint="eastAsia" w:ascii="宋体" w:hAnsi="宋体" w:cs="宋体"/>
                      <w:kern w:val="0"/>
                      <w:sz w:val="22"/>
                      <w:szCs w:val="21"/>
                    </w:rPr>
                    <w:t>炸酸工序废气处理前采样口</w:t>
                  </w:r>
                </w:p>
              </w:tc>
              <w:tc>
                <w:tcPr>
                  <w:tcW w:w="2763" w:type="dxa"/>
                  <w:vAlign w:val="center"/>
                </w:tcPr>
                <w:p>
                  <w:pPr>
                    <w:widowControl/>
                    <w:autoSpaceDE w:val="0"/>
                    <w:autoSpaceDN w:val="0"/>
                    <w:jc w:val="center"/>
                    <w:rPr>
                      <w:kern w:val="0"/>
                      <w:sz w:val="22"/>
                      <w:szCs w:val="21"/>
                    </w:rPr>
                  </w:pPr>
                  <w:r>
                    <w:rPr>
                      <w:kern w:val="0"/>
                      <w:sz w:val="22"/>
                      <w:szCs w:val="21"/>
                    </w:rPr>
                    <w:t>硫酸雾</w:t>
                  </w:r>
                  <w:r>
                    <w:rPr>
                      <w:rFonts w:hint="eastAsia"/>
                      <w:kern w:val="0"/>
                      <w:sz w:val="22"/>
                      <w:szCs w:val="21"/>
                    </w:rPr>
                    <w:t>、</w:t>
                  </w:r>
                  <w:r>
                    <w:rPr>
                      <w:kern w:val="0"/>
                      <w:sz w:val="22"/>
                      <w:szCs w:val="21"/>
                    </w:rPr>
                    <w:t>氯化氢</w:t>
                  </w:r>
                  <w:r>
                    <w:rPr>
                      <w:rFonts w:hint="eastAsia"/>
                      <w:kern w:val="0"/>
                      <w:sz w:val="22"/>
                      <w:szCs w:val="21"/>
                    </w:rPr>
                    <w:t>、</w:t>
                  </w:r>
                  <w:r>
                    <w:rPr>
                      <w:kern w:val="0"/>
                      <w:sz w:val="22"/>
                      <w:szCs w:val="21"/>
                    </w:rPr>
                    <w:t>颗粒物</w:t>
                  </w:r>
                </w:p>
              </w:tc>
              <w:tc>
                <w:tcPr>
                  <w:tcW w:w="1787" w:type="dxa"/>
                  <w:vAlign w:val="center"/>
                </w:tcPr>
                <w:p>
                  <w:pPr>
                    <w:widowControl/>
                    <w:autoSpaceDE w:val="0"/>
                    <w:autoSpaceDN w:val="0"/>
                    <w:jc w:val="center"/>
                    <w:rPr>
                      <w:kern w:val="0"/>
                      <w:sz w:val="22"/>
                      <w:szCs w:val="21"/>
                    </w:rPr>
                  </w:pPr>
                  <w:r>
                    <w:rPr>
                      <w:kern w:val="0"/>
                      <w:sz w:val="22"/>
                      <w:szCs w:val="21"/>
                    </w:rPr>
                    <w:t>每天监测3次，连续监测2天</w:t>
                  </w:r>
                </w:p>
              </w:tc>
              <w:tc>
                <w:tcPr>
                  <w:tcW w:w="1325" w:type="dxa"/>
                  <w:vAlign w:val="center"/>
                </w:tcPr>
                <w:p>
                  <w:pPr>
                    <w:widowControl/>
                    <w:autoSpaceDE w:val="0"/>
                    <w:autoSpaceDN w:val="0"/>
                    <w:jc w:val="center"/>
                    <w:rPr>
                      <w:kern w:val="0"/>
                      <w:sz w:val="22"/>
                      <w:szCs w:val="21"/>
                    </w:rPr>
                  </w:pPr>
                  <w:r>
                    <w:rPr>
                      <w:rFonts w:hint="eastAsia"/>
                      <w:kern w:val="0"/>
                      <w:sz w:val="22"/>
                      <w:szCs w:val="21"/>
                    </w:rPr>
                    <w:t>3012H</w:t>
                  </w:r>
                </w:p>
                <w:p>
                  <w:pPr>
                    <w:widowControl/>
                    <w:autoSpaceDE w:val="0"/>
                    <w:autoSpaceDN w:val="0"/>
                    <w:jc w:val="center"/>
                    <w:rPr>
                      <w:kern w:val="0"/>
                      <w:sz w:val="22"/>
                      <w:szCs w:val="21"/>
                    </w:rPr>
                  </w:pPr>
                  <w:r>
                    <w:rPr>
                      <w:rFonts w:hint="eastAsia"/>
                      <w:kern w:val="0"/>
                      <w:sz w:val="22"/>
                      <w:szCs w:val="21"/>
                    </w:rPr>
                    <w:t>3072</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47" w:hRule="atLeast"/>
                <w:jc w:val="center"/>
              </w:trPr>
              <w:tc>
                <w:tcPr>
                  <w:tcW w:w="1088" w:type="dxa"/>
                  <w:vMerge w:val="continue"/>
                  <w:vAlign w:val="center"/>
                </w:tcPr>
                <w:p>
                  <w:pPr>
                    <w:autoSpaceDE w:val="0"/>
                    <w:autoSpaceDN w:val="0"/>
                    <w:jc w:val="center"/>
                    <w:rPr>
                      <w:kern w:val="0"/>
                      <w:sz w:val="22"/>
                      <w:szCs w:val="21"/>
                    </w:rPr>
                  </w:pPr>
                </w:p>
              </w:tc>
              <w:tc>
                <w:tcPr>
                  <w:tcW w:w="2127" w:type="dxa"/>
                  <w:vAlign w:val="center"/>
                </w:tcPr>
                <w:p>
                  <w:pPr>
                    <w:autoSpaceDE w:val="0"/>
                    <w:autoSpaceDN w:val="0"/>
                    <w:jc w:val="center"/>
                    <w:rPr>
                      <w:rFonts w:ascii="宋体" w:hAnsi="宋体" w:cs="宋体"/>
                      <w:kern w:val="0"/>
                      <w:sz w:val="22"/>
                      <w:szCs w:val="21"/>
                    </w:rPr>
                  </w:pPr>
                  <w:r>
                    <w:rPr>
                      <w:rFonts w:hint="eastAsia" w:ascii="宋体" w:hAnsi="宋体" w:cs="宋体"/>
                      <w:kern w:val="0"/>
                      <w:sz w:val="22"/>
                      <w:szCs w:val="21"/>
                    </w:rPr>
                    <w:t>炸酸工序废气处理后采样口</w:t>
                  </w:r>
                </w:p>
              </w:tc>
              <w:tc>
                <w:tcPr>
                  <w:tcW w:w="2763" w:type="dxa"/>
                  <w:vAlign w:val="center"/>
                </w:tcPr>
                <w:p>
                  <w:pPr>
                    <w:widowControl/>
                    <w:autoSpaceDE w:val="0"/>
                    <w:autoSpaceDN w:val="0"/>
                    <w:jc w:val="center"/>
                    <w:rPr>
                      <w:kern w:val="0"/>
                      <w:sz w:val="22"/>
                      <w:szCs w:val="21"/>
                    </w:rPr>
                  </w:pPr>
                  <w:r>
                    <w:rPr>
                      <w:kern w:val="0"/>
                      <w:sz w:val="22"/>
                      <w:szCs w:val="21"/>
                    </w:rPr>
                    <w:t>硫酸雾</w:t>
                  </w:r>
                  <w:r>
                    <w:rPr>
                      <w:rFonts w:hint="eastAsia"/>
                      <w:kern w:val="0"/>
                      <w:sz w:val="22"/>
                      <w:szCs w:val="21"/>
                    </w:rPr>
                    <w:t>、</w:t>
                  </w:r>
                  <w:r>
                    <w:rPr>
                      <w:kern w:val="0"/>
                      <w:sz w:val="22"/>
                      <w:szCs w:val="21"/>
                    </w:rPr>
                    <w:t>氯化氢</w:t>
                  </w:r>
                  <w:r>
                    <w:rPr>
                      <w:rFonts w:hint="eastAsia"/>
                      <w:kern w:val="0"/>
                      <w:sz w:val="22"/>
                      <w:szCs w:val="21"/>
                    </w:rPr>
                    <w:t>、</w:t>
                  </w:r>
                  <w:r>
                    <w:rPr>
                      <w:kern w:val="0"/>
                      <w:sz w:val="22"/>
                      <w:szCs w:val="21"/>
                    </w:rPr>
                    <w:t>颗粒物</w:t>
                  </w:r>
                </w:p>
              </w:tc>
              <w:tc>
                <w:tcPr>
                  <w:tcW w:w="1787" w:type="dxa"/>
                  <w:vAlign w:val="center"/>
                </w:tcPr>
                <w:p>
                  <w:pPr>
                    <w:widowControl/>
                    <w:autoSpaceDE w:val="0"/>
                    <w:autoSpaceDN w:val="0"/>
                    <w:jc w:val="center"/>
                    <w:rPr>
                      <w:kern w:val="0"/>
                      <w:sz w:val="22"/>
                      <w:szCs w:val="21"/>
                    </w:rPr>
                  </w:pPr>
                  <w:r>
                    <w:rPr>
                      <w:kern w:val="0"/>
                      <w:sz w:val="22"/>
                      <w:szCs w:val="21"/>
                    </w:rPr>
                    <w:t>每天监测3次，连续监测2天</w:t>
                  </w:r>
                </w:p>
              </w:tc>
              <w:tc>
                <w:tcPr>
                  <w:tcW w:w="1325" w:type="dxa"/>
                  <w:vAlign w:val="center"/>
                </w:tcPr>
                <w:p>
                  <w:pPr>
                    <w:widowControl/>
                    <w:autoSpaceDE w:val="0"/>
                    <w:autoSpaceDN w:val="0"/>
                    <w:jc w:val="center"/>
                    <w:rPr>
                      <w:kern w:val="0"/>
                      <w:sz w:val="22"/>
                      <w:szCs w:val="21"/>
                    </w:rPr>
                  </w:pPr>
                  <w:r>
                    <w:rPr>
                      <w:rFonts w:hint="eastAsia"/>
                      <w:kern w:val="0"/>
                      <w:sz w:val="22"/>
                      <w:szCs w:val="21"/>
                    </w:rPr>
                    <w:t>3012H</w:t>
                  </w:r>
                </w:p>
                <w:p>
                  <w:pPr>
                    <w:widowControl/>
                    <w:autoSpaceDE w:val="0"/>
                    <w:autoSpaceDN w:val="0"/>
                    <w:jc w:val="center"/>
                    <w:rPr>
                      <w:kern w:val="0"/>
                      <w:sz w:val="22"/>
                      <w:szCs w:val="21"/>
                    </w:rPr>
                  </w:pPr>
                  <w:r>
                    <w:rPr>
                      <w:rFonts w:hint="eastAsia"/>
                      <w:kern w:val="0"/>
                      <w:sz w:val="22"/>
                      <w:szCs w:val="21"/>
                    </w:rPr>
                    <w:t>3072</w:t>
                  </w:r>
                </w:p>
              </w:tc>
            </w:tr>
          </w:tbl>
          <w:p>
            <w:pPr>
              <w:autoSpaceDE w:val="0"/>
              <w:autoSpaceDN w:val="0"/>
              <w:spacing w:line="360" w:lineRule="auto"/>
              <w:jc w:val="left"/>
              <w:rPr>
                <w:b/>
                <w:kern w:val="0"/>
                <w:sz w:val="24"/>
                <w:szCs w:val="22"/>
              </w:rPr>
            </w:pPr>
          </w:p>
          <w:p>
            <w:pPr>
              <w:autoSpaceDE w:val="0"/>
              <w:autoSpaceDN w:val="0"/>
              <w:spacing w:line="360" w:lineRule="auto"/>
              <w:jc w:val="left"/>
              <w:rPr>
                <w:b/>
                <w:kern w:val="0"/>
                <w:sz w:val="24"/>
                <w:szCs w:val="22"/>
              </w:rPr>
            </w:pPr>
            <w:r>
              <w:rPr>
                <w:b/>
                <w:kern w:val="0"/>
                <w:sz w:val="24"/>
                <w:szCs w:val="22"/>
              </w:rPr>
              <w:t>3、噪声监测内容一览表：</w:t>
            </w:r>
          </w:p>
          <w:tbl>
            <w:tblPr>
              <w:tblStyle w:val="27"/>
              <w:tblW w:w="9043"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065"/>
              <w:gridCol w:w="2126"/>
              <w:gridCol w:w="1920"/>
              <w:gridCol w:w="2616"/>
              <w:gridCol w:w="1316"/>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1065" w:type="dxa"/>
                  <w:vAlign w:val="center"/>
                </w:tcPr>
                <w:p>
                  <w:pPr>
                    <w:autoSpaceDE w:val="0"/>
                    <w:autoSpaceDN w:val="0"/>
                    <w:jc w:val="center"/>
                    <w:rPr>
                      <w:kern w:val="0"/>
                      <w:sz w:val="22"/>
                      <w:szCs w:val="21"/>
                    </w:rPr>
                  </w:pPr>
                  <w:r>
                    <w:rPr>
                      <w:kern w:val="0"/>
                      <w:sz w:val="22"/>
                      <w:szCs w:val="21"/>
                    </w:rPr>
                    <w:t>类别</w:t>
                  </w:r>
                </w:p>
              </w:tc>
              <w:tc>
                <w:tcPr>
                  <w:tcW w:w="2126" w:type="dxa"/>
                  <w:vAlign w:val="center"/>
                </w:tcPr>
                <w:p>
                  <w:pPr>
                    <w:autoSpaceDE w:val="0"/>
                    <w:autoSpaceDN w:val="0"/>
                    <w:jc w:val="center"/>
                    <w:rPr>
                      <w:kern w:val="0"/>
                      <w:sz w:val="22"/>
                      <w:szCs w:val="21"/>
                    </w:rPr>
                  </w:pPr>
                  <w:r>
                    <w:rPr>
                      <w:kern w:val="0"/>
                      <w:sz w:val="22"/>
                      <w:szCs w:val="21"/>
                    </w:rPr>
                    <w:t>监测点位</w:t>
                  </w:r>
                </w:p>
              </w:tc>
              <w:tc>
                <w:tcPr>
                  <w:tcW w:w="1920" w:type="dxa"/>
                  <w:vAlign w:val="center"/>
                </w:tcPr>
                <w:p>
                  <w:pPr>
                    <w:autoSpaceDE w:val="0"/>
                    <w:autoSpaceDN w:val="0"/>
                    <w:jc w:val="center"/>
                    <w:rPr>
                      <w:kern w:val="0"/>
                      <w:sz w:val="22"/>
                      <w:szCs w:val="21"/>
                    </w:rPr>
                  </w:pPr>
                  <w:r>
                    <w:rPr>
                      <w:kern w:val="0"/>
                      <w:sz w:val="22"/>
                      <w:szCs w:val="21"/>
                    </w:rPr>
                    <w:t>项目</w:t>
                  </w:r>
                </w:p>
              </w:tc>
              <w:tc>
                <w:tcPr>
                  <w:tcW w:w="2616" w:type="dxa"/>
                  <w:vAlign w:val="center"/>
                </w:tcPr>
                <w:p>
                  <w:pPr>
                    <w:autoSpaceDE w:val="0"/>
                    <w:autoSpaceDN w:val="0"/>
                    <w:jc w:val="center"/>
                    <w:rPr>
                      <w:kern w:val="0"/>
                      <w:sz w:val="22"/>
                      <w:szCs w:val="21"/>
                    </w:rPr>
                  </w:pPr>
                  <w:r>
                    <w:rPr>
                      <w:kern w:val="0"/>
                      <w:sz w:val="22"/>
                      <w:szCs w:val="21"/>
                    </w:rPr>
                    <w:t>采样日期和频次</w:t>
                  </w:r>
                </w:p>
              </w:tc>
              <w:tc>
                <w:tcPr>
                  <w:tcW w:w="1316" w:type="dxa"/>
                  <w:vAlign w:val="center"/>
                </w:tcPr>
                <w:p>
                  <w:pPr>
                    <w:autoSpaceDE w:val="0"/>
                    <w:autoSpaceDN w:val="0"/>
                    <w:jc w:val="center"/>
                    <w:rPr>
                      <w:kern w:val="0"/>
                      <w:sz w:val="22"/>
                      <w:szCs w:val="21"/>
                    </w:rPr>
                  </w:pPr>
                  <w:r>
                    <w:rPr>
                      <w:kern w:val="0"/>
                      <w:sz w:val="22"/>
                      <w:szCs w:val="21"/>
                    </w:rPr>
                    <w:t>采样设备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65" w:type="dxa"/>
                  <w:vMerge w:val="restart"/>
                  <w:vAlign w:val="center"/>
                </w:tcPr>
                <w:p>
                  <w:pPr>
                    <w:autoSpaceDE w:val="0"/>
                    <w:autoSpaceDN w:val="0"/>
                    <w:jc w:val="center"/>
                    <w:rPr>
                      <w:kern w:val="0"/>
                      <w:sz w:val="22"/>
                      <w:szCs w:val="21"/>
                    </w:rPr>
                  </w:pPr>
                  <w:r>
                    <w:rPr>
                      <w:kern w:val="0"/>
                      <w:sz w:val="22"/>
                      <w:szCs w:val="21"/>
                    </w:rPr>
                    <w:t>噪声</w:t>
                  </w:r>
                </w:p>
              </w:tc>
              <w:tc>
                <w:tcPr>
                  <w:tcW w:w="2126" w:type="dxa"/>
                  <w:vAlign w:val="center"/>
                </w:tcPr>
                <w:p>
                  <w:pPr>
                    <w:widowControl/>
                    <w:autoSpaceDE w:val="0"/>
                    <w:autoSpaceDN w:val="0"/>
                    <w:jc w:val="center"/>
                    <w:rPr>
                      <w:kern w:val="0"/>
                      <w:sz w:val="22"/>
                      <w:szCs w:val="21"/>
                    </w:rPr>
                  </w:pPr>
                  <w:r>
                    <w:rPr>
                      <w:kern w:val="0"/>
                      <w:sz w:val="22"/>
                      <w:szCs w:val="21"/>
                    </w:rPr>
                    <w:t>▲1#厂界</w:t>
                  </w:r>
                </w:p>
              </w:tc>
              <w:tc>
                <w:tcPr>
                  <w:tcW w:w="1920" w:type="dxa"/>
                  <w:vMerge w:val="restart"/>
                  <w:vAlign w:val="center"/>
                </w:tcPr>
                <w:p>
                  <w:pPr>
                    <w:widowControl/>
                    <w:autoSpaceDE w:val="0"/>
                    <w:autoSpaceDN w:val="0"/>
                    <w:jc w:val="center"/>
                    <w:rPr>
                      <w:kern w:val="0"/>
                      <w:sz w:val="22"/>
                      <w:szCs w:val="21"/>
                    </w:rPr>
                  </w:pPr>
                  <w:r>
                    <w:rPr>
                      <w:kern w:val="0"/>
                      <w:sz w:val="22"/>
                      <w:szCs w:val="21"/>
                    </w:rPr>
                    <w:t>厂界噪声</w:t>
                  </w:r>
                </w:p>
              </w:tc>
              <w:tc>
                <w:tcPr>
                  <w:tcW w:w="2616" w:type="dxa"/>
                  <w:vMerge w:val="restart"/>
                  <w:vAlign w:val="center"/>
                </w:tcPr>
                <w:p>
                  <w:pPr>
                    <w:widowControl/>
                    <w:autoSpaceDE w:val="0"/>
                    <w:autoSpaceDN w:val="0"/>
                    <w:jc w:val="center"/>
                    <w:rPr>
                      <w:kern w:val="0"/>
                      <w:sz w:val="22"/>
                      <w:szCs w:val="21"/>
                    </w:rPr>
                  </w:pPr>
                  <w:r>
                    <w:rPr>
                      <w:kern w:val="0"/>
                      <w:sz w:val="22"/>
                      <w:szCs w:val="21"/>
                    </w:rPr>
                    <w:t>每天昼间监测1次，连续监测2天</w:t>
                  </w:r>
                </w:p>
              </w:tc>
              <w:tc>
                <w:tcPr>
                  <w:tcW w:w="1316" w:type="dxa"/>
                  <w:vMerge w:val="restart"/>
                  <w:vAlign w:val="center"/>
                </w:tcPr>
                <w:p>
                  <w:pPr>
                    <w:widowControl/>
                    <w:autoSpaceDE w:val="0"/>
                    <w:autoSpaceDN w:val="0"/>
                    <w:jc w:val="center"/>
                    <w:rPr>
                      <w:kern w:val="0"/>
                      <w:sz w:val="22"/>
                      <w:szCs w:val="21"/>
                    </w:rPr>
                  </w:pPr>
                  <w:r>
                    <w:rPr>
                      <w:kern w:val="0"/>
                      <w:sz w:val="22"/>
                      <w:szCs w:val="21"/>
                    </w:rPr>
                    <w:t>AWA5680声级计</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65" w:type="dxa"/>
                  <w:vMerge w:val="continue"/>
                  <w:vAlign w:val="center"/>
                </w:tcPr>
                <w:p>
                  <w:pPr>
                    <w:autoSpaceDE w:val="0"/>
                    <w:autoSpaceDN w:val="0"/>
                    <w:jc w:val="center"/>
                    <w:rPr>
                      <w:kern w:val="0"/>
                      <w:sz w:val="22"/>
                      <w:szCs w:val="21"/>
                    </w:rPr>
                  </w:pPr>
                </w:p>
              </w:tc>
              <w:tc>
                <w:tcPr>
                  <w:tcW w:w="2126" w:type="dxa"/>
                  <w:vAlign w:val="center"/>
                </w:tcPr>
                <w:p>
                  <w:pPr>
                    <w:widowControl/>
                    <w:autoSpaceDE w:val="0"/>
                    <w:autoSpaceDN w:val="0"/>
                    <w:jc w:val="center"/>
                    <w:rPr>
                      <w:kern w:val="0"/>
                      <w:sz w:val="22"/>
                      <w:szCs w:val="21"/>
                    </w:rPr>
                  </w:pPr>
                  <w:r>
                    <w:rPr>
                      <w:kern w:val="0"/>
                      <w:sz w:val="22"/>
                      <w:szCs w:val="21"/>
                    </w:rPr>
                    <w:t>▲2#厂界</w:t>
                  </w:r>
                </w:p>
              </w:tc>
              <w:tc>
                <w:tcPr>
                  <w:tcW w:w="1920" w:type="dxa"/>
                  <w:vMerge w:val="continue"/>
                  <w:vAlign w:val="center"/>
                </w:tcPr>
                <w:p>
                  <w:pPr>
                    <w:widowControl/>
                    <w:autoSpaceDE w:val="0"/>
                    <w:autoSpaceDN w:val="0"/>
                    <w:jc w:val="center"/>
                    <w:rPr>
                      <w:kern w:val="0"/>
                      <w:sz w:val="22"/>
                      <w:szCs w:val="21"/>
                    </w:rPr>
                  </w:pPr>
                </w:p>
              </w:tc>
              <w:tc>
                <w:tcPr>
                  <w:tcW w:w="2616" w:type="dxa"/>
                  <w:vMerge w:val="continue"/>
                  <w:vAlign w:val="center"/>
                </w:tcPr>
                <w:p>
                  <w:pPr>
                    <w:widowControl/>
                    <w:autoSpaceDE w:val="0"/>
                    <w:autoSpaceDN w:val="0"/>
                    <w:jc w:val="center"/>
                    <w:rPr>
                      <w:kern w:val="0"/>
                      <w:sz w:val="22"/>
                      <w:szCs w:val="21"/>
                    </w:rPr>
                  </w:pPr>
                </w:p>
              </w:tc>
              <w:tc>
                <w:tcPr>
                  <w:tcW w:w="1316" w:type="dxa"/>
                  <w:vMerge w:val="continue"/>
                  <w:vAlign w:val="center"/>
                </w:tcPr>
                <w:p>
                  <w:pPr>
                    <w:widowControl/>
                    <w:autoSpaceDE w:val="0"/>
                    <w:autoSpaceDN w:val="0"/>
                    <w:jc w:val="center"/>
                    <w:rPr>
                      <w:kern w:val="0"/>
                      <w:sz w:val="22"/>
                      <w:szCs w:val="21"/>
                      <w:highlight w:val="yellow"/>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65" w:type="dxa"/>
                  <w:vMerge w:val="continue"/>
                  <w:vAlign w:val="center"/>
                </w:tcPr>
                <w:p>
                  <w:pPr>
                    <w:autoSpaceDE w:val="0"/>
                    <w:autoSpaceDN w:val="0"/>
                    <w:jc w:val="center"/>
                    <w:rPr>
                      <w:kern w:val="0"/>
                      <w:sz w:val="22"/>
                      <w:szCs w:val="21"/>
                    </w:rPr>
                  </w:pPr>
                </w:p>
              </w:tc>
              <w:tc>
                <w:tcPr>
                  <w:tcW w:w="2126" w:type="dxa"/>
                  <w:vAlign w:val="center"/>
                </w:tcPr>
                <w:p>
                  <w:pPr>
                    <w:widowControl/>
                    <w:autoSpaceDE w:val="0"/>
                    <w:autoSpaceDN w:val="0"/>
                    <w:jc w:val="center"/>
                    <w:rPr>
                      <w:kern w:val="0"/>
                      <w:sz w:val="22"/>
                      <w:szCs w:val="21"/>
                    </w:rPr>
                  </w:pPr>
                  <w:r>
                    <w:rPr>
                      <w:kern w:val="0"/>
                      <w:sz w:val="22"/>
                      <w:szCs w:val="21"/>
                    </w:rPr>
                    <w:t>▲3#厂界</w:t>
                  </w:r>
                </w:p>
              </w:tc>
              <w:tc>
                <w:tcPr>
                  <w:tcW w:w="1920" w:type="dxa"/>
                  <w:vMerge w:val="continue"/>
                  <w:vAlign w:val="center"/>
                </w:tcPr>
                <w:p>
                  <w:pPr>
                    <w:widowControl/>
                    <w:autoSpaceDE w:val="0"/>
                    <w:autoSpaceDN w:val="0"/>
                    <w:jc w:val="center"/>
                    <w:rPr>
                      <w:kern w:val="0"/>
                      <w:sz w:val="22"/>
                      <w:szCs w:val="21"/>
                    </w:rPr>
                  </w:pPr>
                </w:p>
              </w:tc>
              <w:tc>
                <w:tcPr>
                  <w:tcW w:w="2616" w:type="dxa"/>
                  <w:vMerge w:val="continue"/>
                  <w:vAlign w:val="center"/>
                </w:tcPr>
                <w:p>
                  <w:pPr>
                    <w:widowControl/>
                    <w:autoSpaceDE w:val="0"/>
                    <w:autoSpaceDN w:val="0"/>
                    <w:jc w:val="center"/>
                    <w:rPr>
                      <w:kern w:val="0"/>
                      <w:sz w:val="22"/>
                      <w:szCs w:val="21"/>
                    </w:rPr>
                  </w:pPr>
                </w:p>
              </w:tc>
              <w:tc>
                <w:tcPr>
                  <w:tcW w:w="1316" w:type="dxa"/>
                  <w:vMerge w:val="continue"/>
                  <w:vAlign w:val="center"/>
                </w:tcPr>
                <w:p>
                  <w:pPr>
                    <w:widowControl/>
                    <w:autoSpaceDE w:val="0"/>
                    <w:autoSpaceDN w:val="0"/>
                    <w:jc w:val="center"/>
                    <w:rPr>
                      <w:kern w:val="0"/>
                      <w:sz w:val="22"/>
                      <w:szCs w:val="21"/>
                      <w:highlight w:val="yellow"/>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065" w:type="dxa"/>
                  <w:vMerge w:val="continue"/>
                  <w:vAlign w:val="center"/>
                </w:tcPr>
                <w:p>
                  <w:pPr>
                    <w:autoSpaceDE w:val="0"/>
                    <w:autoSpaceDN w:val="0"/>
                    <w:jc w:val="center"/>
                    <w:rPr>
                      <w:kern w:val="0"/>
                      <w:sz w:val="22"/>
                      <w:szCs w:val="21"/>
                    </w:rPr>
                  </w:pPr>
                </w:p>
              </w:tc>
              <w:tc>
                <w:tcPr>
                  <w:tcW w:w="2126" w:type="dxa"/>
                  <w:vAlign w:val="center"/>
                </w:tcPr>
                <w:p>
                  <w:pPr>
                    <w:widowControl/>
                    <w:autoSpaceDE w:val="0"/>
                    <w:autoSpaceDN w:val="0"/>
                    <w:jc w:val="center"/>
                    <w:rPr>
                      <w:kern w:val="0"/>
                      <w:sz w:val="22"/>
                      <w:szCs w:val="21"/>
                    </w:rPr>
                  </w:pPr>
                  <w:r>
                    <w:rPr>
                      <w:kern w:val="0"/>
                      <w:sz w:val="22"/>
                      <w:szCs w:val="21"/>
                    </w:rPr>
                    <w:t>▲4#厂界</w:t>
                  </w:r>
                </w:p>
              </w:tc>
              <w:tc>
                <w:tcPr>
                  <w:tcW w:w="1920" w:type="dxa"/>
                  <w:vMerge w:val="continue"/>
                  <w:vAlign w:val="center"/>
                </w:tcPr>
                <w:p>
                  <w:pPr>
                    <w:widowControl/>
                    <w:autoSpaceDE w:val="0"/>
                    <w:autoSpaceDN w:val="0"/>
                    <w:jc w:val="center"/>
                    <w:rPr>
                      <w:kern w:val="0"/>
                      <w:sz w:val="22"/>
                      <w:szCs w:val="21"/>
                    </w:rPr>
                  </w:pPr>
                </w:p>
              </w:tc>
              <w:tc>
                <w:tcPr>
                  <w:tcW w:w="2616" w:type="dxa"/>
                  <w:vMerge w:val="continue"/>
                  <w:vAlign w:val="center"/>
                </w:tcPr>
                <w:p>
                  <w:pPr>
                    <w:widowControl/>
                    <w:autoSpaceDE w:val="0"/>
                    <w:autoSpaceDN w:val="0"/>
                    <w:jc w:val="center"/>
                    <w:rPr>
                      <w:kern w:val="0"/>
                      <w:sz w:val="22"/>
                      <w:szCs w:val="21"/>
                    </w:rPr>
                  </w:pPr>
                </w:p>
              </w:tc>
              <w:tc>
                <w:tcPr>
                  <w:tcW w:w="1316" w:type="dxa"/>
                  <w:vMerge w:val="continue"/>
                  <w:vAlign w:val="center"/>
                </w:tcPr>
                <w:p>
                  <w:pPr>
                    <w:widowControl/>
                    <w:autoSpaceDE w:val="0"/>
                    <w:autoSpaceDN w:val="0"/>
                    <w:jc w:val="center"/>
                    <w:rPr>
                      <w:kern w:val="0"/>
                      <w:sz w:val="22"/>
                      <w:szCs w:val="21"/>
                      <w:highlight w:val="yellow"/>
                    </w:rPr>
                  </w:pPr>
                </w:p>
              </w:tc>
            </w:tr>
          </w:tbl>
          <w:p>
            <w:pPr>
              <w:spacing w:line="360" w:lineRule="auto"/>
              <w:rPr>
                <w:b/>
                <w:sz w:val="24"/>
              </w:rPr>
            </w:pPr>
          </w:p>
          <w:p>
            <w:pPr>
              <w:spacing w:line="360" w:lineRule="auto"/>
              <w:rPr>
                <w:b/>
                <w:sz w:val="24"/>
              </w:rPr>
            </w:pPr>
            <w:r>
              <w:rPr>
                <w:b/>
                <w:sz w:val="24"/>
              </w:rPr>
              <w:t>4、监测工况：</w:t>
            </w:r>
          </w:p>
          <w:p>
            <w:pPr>
              <w:autoSpaceDE w:val="0"/>
              <w:autoSpaceDN w:val="0"/>
              <w:spacing w:line="360" w:lineRule="auto"/>
              <w:ind w:firstLine="480" w:firstLineChars="200"/>
              <w:jc w:val="left"/>
              <w:rPr>
                <w:b/>
                <w:kern w:val="0"/>
                <w:sz w:val="24"/>
                <w:szCs w:val="22"/>
              </w:rPr>
            </w:pPr>
            <w:r>
              <w:rPr>
                <w:kern w:val="0"/>
                <w:sz w:val="24"/>
              </w:rPr>
              <w:t>监测期间，</w:t>
            </w:r>
            <w:r>
              <w:rPr>
                <w:sz w:val="24"/>
              </w:rPr>
              <w:t>项目建设内容及其配套污染物治理设施均正常运行，</w:t>
            </w:r>
            <w:r>
              <w:rPr>
                <w:kern w:val="0"/>
                <w:sz w:val="24"/>
              </w:rPr>
              <w:t>达到设计生产能力的</w:t>
            </w:r>
            <w:r>
              <w:rPr>
                <w:rFonts w:hint="eastAsia"/>
                <w:kern w:val="0"/>
                <w:sz w:val="24"/>
              </w:rPr>
              <w:t>90</w:t>
            </w:r>
            <w:r>
              <w:rPr>
                <w:sz w:val="24"/>
              </w:rPr>
              <w:t>%，</w:t>
            </w:r>
            <w:r>
              <w:rPr>
                <w:kern w:val="0"/>
                <w:sz w:val="24"/>
              </w:rPr>
              <w:t>满足75%以上的验收监测工况要求。</w:t>
            </w:r>
          </w:p>
          <w:tbl>
            <w:tblPr>
              <w:tblStyle w:val="27"/>
              <w:tblW w:w="909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1296"/>
              <w:gridCol w:w="1701"/>
              <w:gridCol w:w="1843"/>
              <w:gridCol w:w="1701"/>
              <w:gridCol w:w="11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blHeader/>
                <w:jc w:val="center"/>
              </w:trPr>
              <w:tc>
                <w:tcPr>
                  <w:tcW w:w="1352" w:type="dxa"/>
                  <w:vAlign w:val="center"/>
                </w:tcPr>
                <w:p>
                  <w:pPr>
                    <w:autoSpaceDE w:val="0"/>
                    <w:autoSpaceDN w:val="0"/>
                    <w:spacing w:line="276" w:lineRule="auto"/>
                    <w:jc w:val="center"/>
                    <w:rPr>
                      <w:kern w:val="0"/>
                      <w:sz w:val="22"/>
                      <w:szCs w:val="21"/>
                      <w:lang w:eastAsia="en-US"/>
                    </w:rPr>
                  </w:pPr>
                  <w:r>
                    <w:rPr>
                      <w:kern w:val="0"/>
                      <w:sz w:val="22"/>
                      <w:szCs w:val="21"/>
                      <w:lang w:eastAsia="en-US"/>
                    </w:rPr>
                    <w:t>监测日期</w:t>
                  </w:r>
                </w:p>
              </w:tc>
              <w:tc>
                <w:tcPr>
                  <w:tcW w:w="1296" w:type="dxa"/>
                  <w:vAlign w:val="center"/>
                </w:tcPr>
                <w:p>
                  <w:pPr>
                    <w:autoSpaceDE w:val="0"/>
                    <w:autoSpaceDN w:val="0"/>
                    <w:spacing w:line="276" w:lineRule="auto"/>
                    <w:jc w:val="center"/>
                    <w:rPr>
                      <w:kern w:val="0"/>
                      <w:sz w:val="22"/>
                      <w:szCs w:val="21"/>
                      <w:lang w:eastAsia="en-US"/>
                    </w:rPr>
                  </w:pPr>
                  <w:r>
                    <w:rPr>
                      <w:kern w:val="0"/>
                      <w:sz w:val="22"/>
                      <w:szCs w:val="21"/>
                      <w:lang w:eastAsia="en-US"/>
                    </w:rPr>
                    <w:t>产品名称</w:t>
                  </w:r>
                </w:p>
              </w:tc>
              <w:tc>
                <w:tcPr>
                  <w:tcW w:w="1701" w:type="dxa"/>
                  <w:vAlign w:val="center"/>
                </w:tcPr>
                <w:p>
                  <w:pPr>
                    <w:autoSpaceDE w:val="0"/>
                    <w:autoSpaceDN w:val="0"/>
                    <w:spacing w:line="276" w:lineRule="auto"/>
                    <w:jc w:val="center"/>
                    <w:rPr>
                      <w:kern w:val="0"/>
                      <w:sz w:val="22"/>
                      <w:szCs w:val="21"/>
                      <w:lang w:eastAsia="en-US"/>
                    </w:rPr>
                  </w:pPr>
                  <w:r>
                    <w:rPr>
                      <w:kern w:val="0"/>
                      <w:sz w:val="22"/>
                      <w:szCs w:val="21"/>
                      <w:lang w:eastAsia="en-US"/>
                    </w:rPr>
                    <w:t>设计年产量</w:t>
                  </w:r>
                </w:p>
              </w:tc>
              <w:tc>
                <w:tcPr>
                  <w:tcW w:w="1843" w:type="dxa"/>
                  <w:vAlign w:val="center"/>
                </w:tcPr>
                <w:p>
                  <w:pPr>
                    <w:autoSpaceDE w:val="0"/>
                    <w:autoSpaceDN w:val="0"/>
                    <w:spacing w:line="276" w:lineRule="auto"/>
                    <w:jc w:val="center"/>
                    <w:rPr>
                      <w:kern w:val="0"/>
                      <w:sz w:val="22"/>
                      <w:szCs w:val="21"/>
                      <w:lang w:eastAsia="en-US"/>
                    </w:rPr>
                  </w:pPr>
                  <w:r>
                    <w:rPr>
                      <w:kern w:val="0"/>
                      <w:sz w:val="22"/>
                      <w:szCs w:val="21"/>
                      <w:lang w:eastAsia="en-US"/>
                    </w:rPr>
                    <w:t>设计日产量</w:t>
                  </w:r>
                </w:p>
              </w:tc>
              <w:tc>
                <w:tcPr>
                  <w:tcW w:w="1701" w:type="dxa"/>
                  <w:vAlign w:val="center"/>
                </w:tcPr>
                <w:p>
                  <w:pPr>
                    <w:autoSpaceDE w:val="0"/>
                    <w:autoSpaceDN w:val="0"/>
                    <w:spacing w:line="276" w:lineRule="auto"/>
                    <w:jc w:val="center"/>
                    <w:rPr>
                      <w:kern w:val="0"/>
                      <w:sz w:val="22"/>
                      <w:szCs w:val="21"/>
                      <w:lang w:eastAsia="en-US"/>
                    </w:rPr>
                  </w:pPr>
                  <w:r>
                    <w:rPr>
                      <w:kern w:val="0"/>
                      <w:sz w:val="22"/>
                      <w:szCs w:val="21"/>
                      <w:lang w:eastAsia="en-US"/>
                    </w:rPr>
                    <w:t>实际日产量</w:t>
                  </w:r>
                </w:p>
              </w:tc>
              <w:tc>
                <w:tcPr>
                  <w:tcW w:w="1197" w:type="dxa"/>
                  <w:vAlign w:val="center"/>
                </w:tcPr>
                <w:p>
                  <w:pPr>
                    <w:autoSpaceDE w:val="0"/>
                    <w:autoSpaceDN w:val="0"/>
                    <w:spacing w:line="276" w:lineRule="auto"/>
                    <w:jc w:val="center"/>
                    <w:rPr>
                      <w:kern w:val="0"/>
                      <w:sz w:val="22"/>
                      <w:szCs w:val="21"/>
                      <w:lang w:eastAsia="en-US"/>
                    </w:rPr>
                  </w:pPr>
                  <w:r>
                    <w:rPr>
                      <w:kern w:val="0"/>
                      <w:sz w:val="22"/>
                      <w:szCs w:val="21"/>
                      <w:lang w:eastAsia="en-US"/>
                    </w:rPr>
                    <w:t>生产负荷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2" w:type="dxa"/>
                  <w:vAlign w:val="center"/>
                </w:tcPr>
                <w:p>
                  <w:pPr>
                    <w:autoSpaceDE w:val="0"/>
                    <w:autoSpaceDN w:val="0"/>
                    <w:spacing w:line="276" w:lineRule="auto"/>
                    <w:jc w:val="center"/>
                    <w:rPr>
                      <w:kern w:val="0"/>
                      <w:sz w:val="22"/>
                      <w:szCs w:val="21"/>
                    </w:rPr>
                  </w:pPr>
                  <w:r>
                    <w:rPr>
                      <w:kern w:val="0"/>
                      <w:sz w:val="22"/>
                      <w:szCs w:val="21"/>
                    </w:rPr>
                    <w:t>2017.0</w:t>
                  </w:r>
                  <w:r>
                    <w:rPr>
                      <w:rFonts w:hint="eastAsia"/>
                      <w:kern w:val="0"/>
                      <w:sz w:val="22"/>
                      <w:szCs w:val="21"/>
                    </w:rPr>
                    <w:t>4.24</w:t>
                  </w:r>
                </w:p>
              </w:tc>
              <w:tc>
                <w:tcPr>
                  <w:tcW w:w="1296" w:type="dxa"/>
                  <w:vAlign w:val="center"/>
                </w:tcPr>
                <w:p>
                  <w:pPr>
                    <w:autoSpaceDE w:val="0"/>
                    <w:autoSpaceDN w:val="0"/>
                    <w:spacing w:line="276" w:lineRule="auto"/>
                    <w:jc w:val="center"/>
                    <w:rPr>
                      <w:kern w:val="0"/>
                      <w:sz w:val="22"/>
                      <w:szCs w:val="21"/>
                    </w:rPr>
                  </w:pPr>
                  <w:r>
                    <w:rPr>
                      <w:rFonts w:hint="eastAsia"/>
                      <w:kern w:val="0"/>
                      <w:sz w:val="22"/>
                      <w:szCs w:val="21"/>
                    </w:rPr>
                    <w:t>黄金首饰</w:t>
                  </w:r>
                </w:p>
              </w:tc>
              <w:tc>
                <w:tcPr>
                  <w:tcW w:w="1701" w:type="dxa"/>
                  <w:vAlign w:val="center"/>
                </w:tcPr>
                <w:p>
                  <w:pPr>
                    <w:widowControl/>
                    <w:autoSpaceDE w:val="0"/>
                    <w:autoSpaceDN w:val="0"/>
                    <w:spacing w:line="276" w:lineRule="auto"/>
                    <w:jc w:val="center"/>
                    <w:rPr>
                      <w:kern w:val="0"/>
                      <w:sz w:val="22"/>
                      <w:szCs w:val="21"/>
                    </w:rPr>
                  </w:pPr>
                  <w:r>
                    <w:rPr>
                      <w:kern w:val="0"/>
                      <w:sz w:val="22"/>
                      <w:szCs w:val="21"/>
                    </w:rPr>
                    <w:t>年产量</w:t>
                  </w:r>
                  <w:r>
                    <w:rPr>
                      <w:rFonts w:hint="eastAsia"/>
                      <w:kern w:val="0"/>
                      <w:sz w:val="22"/>
                      <w:szCs w:val="21"/>
                    </w:rPr>
                    <w:t>20000件</w:t>
                  </w:r>
                </w:p>
              </w:tc>
              <w:tc>
                <w:tcPr>
                  <w:tcW w:w="1843" w:type="dxa"/>
                  <w:vAlign w:val="center"/>
                </w:tcPr>
                <w:p>
                  <w:pPr>
                    <w:widowControl/>
                    <w:autoSpaceDE w:val="0"/>
                    <w:autoSpaceDN w:val="0"/>
                    <w:spacing w:line="276" w:lineRule="auto"/>
                    <w:jc w:val="center"/>
                    <w:rPr>
                      <w:kern w:val="0"/>
                      <w:sz w:val="22"/>
                      <w:szCs w:val="21"/>
                    </w:rPr>
                  </w:pPr>
                  <w:r>
                    <w:rPr>
                      <w:rFonts w:hint="eastAsia"/>
                      <w:kern w:val="0"/>
                      <w:sz w:val="22"/>
                      <w:szCs w:val="21"/>
                    </w:rPr>
                    <w:t>67件</w:t>
                  </w:r>
                </w:p>
              </w:tc>
              <w:tc>
                <w:tcPr>
                  <w:tcW w:w="1701" w:type="dxa"/>
                  <w:vAlign w:val="center"/>
                </w:tcPr>
                <w:p>
                  <w:pPr>
                    <w:widowControl/>
                    <w:autoSpaceDE w:val="0"/>
                    <w:autoSpaceDN w:val="0"/>
                    <w:spacing w:line="276" w:lineRule="auto"/>
                    <w:jc w:val="center"/>
                    <w:rPr>
                      <w:kern w:val="0"/>
                      <w:sz w:val="22"/>
                      <w:szCs w:val="21"/>
                    </w:rPr>
                  </w:pPr>
                  <w:r>
                    <w:rPr>
                      <w:rFonts w:hint="eastAsia"/>
                      <w:kern w:val="0"/>
                      <w:sz w:val="22"/>
                      <w:szCs w:val="21"/>
                    </w:rPr>
                    <w:t>60件</w:t>
                  </w:r>
                </w:p>
              </w:tc>
              <w:tc>
                <w:tcPr>
                  <w:tcW w:w="1197" w:type="dxa"/>
                  <w:vAlign w:val="center"/>
                </w:tcPr>
                <w:p>
                  <w:pPr>
                    <w:widowControl/>
                    <w:autoSpaceDE w:val="0"/>
                    <w:autoSpaceDN w:val="0"/>
                    <w:spacing w:line="276" w:lineRule="auto"/>
                    <w:jc w:val="center"/>
                    <w:rPr>
                      <w:kern w:val="0"/>
                      <w:sz w:val="22"/>
                      <w:szCs w:val="21"/>
                    </w:rPr>
                  </w:pPr>
                  <w:r>
                    <w:rPr>
                      <w:rFonts w:hint="eastAsia"/>
                      <w:kern w:val="0"/>
                      <w:sz w:val="22"/>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52" w:type="dxa"/>
                  <w:vAlign w:val="center"/>
                </w:tcPr>
                <w:p>
                  <w:pPr>
                    <w:autoSpaceDE w:val="0"/>
                    <w:autoSpaceDN w:val="0"/>
                    <w:spacing w:line="276" w:lineRule="auto"/>
                    <w:jc w:val="center"/>
                    <w:rPr>
                      <w:kern w:val="0"/>
                      <w:sz w:val="22"/>
                      <w:szCs w:val="21"/>
                    </w:rPr>
                  </w:pPr>
                  <w:r>
                    <w:rPr>
                      <w:kern w:val="0"/>
                      <w:sz w:val="22"/>
                      <w:szCs w:val="21"/>
                    </w:rPr>
                    <w:t>2017.0</w:t>
                  </w:r>
                  <w:r>
                    <w:rPr>
                      <w:rFonts w:hint="eastAsia"/>
                      <w:kern w:val="0"/>
                      <w:sz w:val="22"/>
                      <w:szCs w:val="21"/>
                    </w:rPr>
                    <w:t>4</w:t>
                  </w:r>
                  <w:r>
                    <w:rPr>
                      <w:kern w:val="0"/>
                      <w:sz w:val="22"/>
                      <w:szCs w:val="21"/>
                    </w:rPr>
                    <w:t>.</w:t>
                  </w:r>
                  <w:r>
                    <w:rPr>
                      <w:rFonts w:hint="eastAsia"/>
                      <w:kern w:val="0"/>
                      <w:sz w:val="22"/>
                      <w:szCs w:val="21"/>
                    </w:rPr>
                    <w:t>25</w:t>
                  </w:r>
                </w:p>
              </w:tc>
              <w:tc>
                <w:tcPr>
                  <w:tcW w:w="1296" w:type="dxa"/>
                  <w:vAlign w:val="center"/>
                </w:tcPr>
                <w:p>
                  <w:pPr>
                    <w:autoSpaceDE w:val="0"/>
                    <w:autoSpaceDN w:val="0"/>
                    <w:spacing w:line="276" w:lineRule="auto"/>
                    <w:jc w:val="center"/>
                    <w:rPr>
                      <w:kern w:val="0"/>
                      <w:sz w:val="22"/>
                      <w:szCs w:val="21"/>
                    </w:rPr>
                  </w:pPr>
                  <w:r>
                    <w:rPr>
                      <w:rFonts w:hint="eastAsia"/>
                      <w:kern w:val="0"/>
                      <w:sz w:val="22"/>
                      <w:szCs w:val="21"/>
                    </w:rPr>
                    <w:t>黄金首饰</w:t>
                  </w:r>
                </w:p>
              </w:tc>
              <w:tc>
                <w:tcPr>
                  <w:tcW w:w="1701" w:type="dxa"/>
                  <w:vAlign w:val="center"/>
                </w:tcPr>
                <w:p>
                  <w:pPr>
                    <w:widowControl/>
                    <w:autoSpaceDE w:val="0"/>
                    <w:autoSpaceDN w:val="0"/>
                    <w:spacing w:line="276" w:lineRule="auto"/>
                    <w:jc w:val="center"/>
                    <w:rPr>
                      <w:kern w:val="0"/>
                      <w:sz w:val="22"/>
                      <w:szCs w:val="21"/>
                    </w:rPr>
                  </w:pPr>
                  <w:r>
                    <w:rPr>
                      <w:kern w:val="0"/>
                      <w:sz w:val="22"/>
                      <w:szCs w:val="21"/>
                    </w:rPr>
                    <w:t>年产量</w:t>
                  </w:r>
                  <w:r>
                    <w:rPr>
                      <w:rFonts w:hint="eastAsia"/>
                      <w:kern w:val="0"/>
                      <w:sz w:val="22"/>
                      <w:szCs w:val="21"/>
                    </w:rPr>
                    <w:t>20000件</w:t>
                  </w:r>
                </w:p>
              </w:tc>
              <w:tc>
                <w:tcPr>
                  <w:tcW w:w="1843" w:type="dxa"/>
                  <w:vAlign w:val="center"/>
                </w:tcPr>
                <w:p>
                  <w:pPr>
                    <w:widowControl/>
                    <w:autoSpaceDE w:val="0"/>
                    <w:autoSpaceDN w:val="0"/>
                    <w:spacing w:line="276" w:lineRule="auto"/>
                    <w:jc w:val="center"/>
                    <w:rPr>
                      <w:kern w:val="0"/>
                      <w:sz w:val="22"/>
                      <w:szCs w:val="21"/>
                    </w:rPr>
                  </w:pPr>
                  <w:r>
                    <w:rPr>
                      <w:rFonts w:hint="eastAsia"/>
                      <w:kern w:val="0"/>
                      <w:sz w:val="22"/>
                      <w:szCs w:val="21"/>
                    </w:rPr>
                    <w:t>67件</w:t>
                  </w:r>
                </w:p>
              </w:tc>
              <w:tc>
                <w:tcPr>
                  <w:tcW w:w="1701" w:type="dxa"/>
                  <w:vAlign w:val="center"/>
                </w:tcPr>
                <w:p>
                  <w:pPr>
                    <w:widowControl/>
                    <w:autoSpaceDE w:val="0"/>
                    <w:autoSpaceDN w:val="0"/>
                    <w:spacing w:line="276" w:lineRule="auto"/>
                    <w:jc w:val="center"/>
                    <w:rPr>
                      <w:kern w:val="0"/>
                      <w:sz w:val="22"/>
                      <w:szCs w:val="21"/>
                    </w:rPr>
                  </w:pPr>
                  <w:r>
                    <w:rPr>
                      <w:rFonts w:hint="eastAsia"/>
                      <w:kern w:val="0"/>
                      <w:sz w:val="22"/>
                      <w:szCs w:val="21"/>
                    </w:rPr>
                    <w:t>60件</w:t>
                  </w:r>
                </w:p>
              </w:tc>
              <w:tc>
                <w:tcPr>
                  <w:tcW w:w="1197" w:type="dxa"/>
                  <w:vAlign w:val="center"/>
                </w:tcPr>
                <w:p>
                  <w:pPr>
                    <w:widowControl/>
                    <w:autoSpaceDE w:val="0"/>
                    <w:autoSpaceDN w:val="0"/>
                    <w:spacing w:line="276" w:lineRule="auto"/>
                    <w:jc w:val="center"/>
                    <w:rPr>
                      <w:kern w:val="0"/>
                      <w:sz w:val="22"/>
                      <w:szCs w:val="21"/>
                    </w:rPr>
                  </w:pPr>
                  <w:r>
                    <w:rPr>
                      <w:rFonts w:hint="eastAsia"/>
                      <w:kern w:val="0"/>
                      <w:sz w:val="22"/>
                      <w:szCs w:val="21"/>
                    </w:rPr>
                    <w:t>90</w:t>
                  </w:r>
                </w:p>
              </w:tc>
            </w:tr>
          </w:tbl>
          <w:p>
            <w:pPr>
              <w:autoSpaceDE w:val="0"/>
              <w:autoSpaceDN w:val="0"/>
              <w:spacing w:line="360" w:lineRule="auto"/>
              <w:jc w:val="left"/>
              <w:rPr>
                <w:kern w:val="0"/>
                <w:sz w:val="28"/>
                <w:szCs w:val="22"/>
              </w:rPr>
            </w:pPr>
          </w:p>
        </w:tc>
      </w:tr>
    </w:tbl>
    <w:p>
      <w:pPr>
        <w:autoSpaceDE w:val="0"/>
        <w:autoSpaceDN w:val="0"/>
        <w:spacing w:before="11"/>
        <w:jc w:val="left"/>
        <w:rPr>
          <w:b/>
          <w:kern w:val="0"/>
          <w:sz w:val="24"/>
        </w:rPr>
      </w:pPr>
    </w:p>
    <w:tbl>
      <w:tblPr>
        <w:tblStyle w:val="27"/>
        <w:tblW w:w="9556" w:type="dxa"/>
        <w:jc w:val="center"/>
        <w:tblInd w:w="0" w:type="dxa"/>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
      <w:tblGrid>
        <w:gridCol w:w="9413"/>
        <w:gridCol w:w="143"/>
      </w:tblGrid>
      <w:tr>
        <w:tblPrEx>
          <w:tblBorders>
            <w:top w:val="single" w:color="auto" w:sz="8" w:space="0"/>
            <w:left w:val="single" w:color="auto" w:sz="8" w:space="0"/>
            <w:bottom w:val="single" w:color="auto" w:sz="8" w:space="0"/>
            <w:right w:val="single" w:color="auto" w:sz="8" w:space="0"/>
            <w:insideH w:val="single" w:color="auto" w:sz="12" w:space="0"/>
            <w:insideV w:val="single" w:color="auto" w:sz="12" w:space="0"/>
          </w:tblBorders>
          <w:tblLayout w:type="fixed"/>
          <w:tblCellMar>
            <w:top w:w="0" w:type="dxa"/>
            <w:left w:w="108" w:type="dxa"/>
            <w:bottom w:w="0" w:type="dxa"/>
            <w:right w:w="108" w:type="dxa"/>
          </w:tblCellMar>
        </w:tblPrEx>
        <w:trPr>
          <w:gridAfter w:val="1"/>
          <w:wAfter w:w="143" w:type="dxa"/>
          <w:trHeight w:val="14014" w:hRule="atLeast"/>
          <w:jc w:val="center"/>
        </w:trPr>
        <w:tc>
          <w:tcPr>
            <w:tcW w:w="9413" w:type="dxa"/>
          </w:tcPr>
          <w:p>
            <w:pPr>
              <w:autoSpaceDE w:val="0"/>
              <w:autoSpaceDN w:val="0"/>
              <w:spacing w:line="360" w:lineRule="auto"/>
              <w:jc w:val="left"/>
              <w:rPr>
                <w:b/>
                <w:kern w:val="0"/>
                <w:sz w:val="24"/>
                <w:szCs w:val="22"/>
              </w:rPr>
            </w:pPr>
            <w:r>
              <w:rPr>
                <w:b/>
                <w:kern w:val="0"/>
                <w:sz w:val="24"/>
                <w:szCs w:val="22"/>
              </w:rPr>
              <w:t>5、监测方法、使用仪器及检出限一览表：</w:t>
            </w:r>
          </w:p>
          <w:tbl>
            <w:tblPr>
              <w:tblStyle w:val="27"/>
              <w:tblW w:w="8882" w:type="dxa"/>
              <w:jc w:val="center"/>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38"/>
              <w:gridCol w:w="1193"/>
              <w:gridCol w:w="3855"/>
              <w:gridCol w:w="2208"/>
              <w:gridCol w:w="1188"/>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438" w:type="dxa"/>
                  <w:vAlign w:val="center"/>
                </w:tcPr>
                <w:p>
                  <w:pPr>
                    <w:autoSpaceDE w:val="0"/>
                    <w:autoSpaceDN w:val="0"/>
                    <w:jc w:val="center"/>
                    <w:rPr>
                      <w:kern w:val="0"/>
                      <w:sz w:val="22"/>
                      <w:szCs w:val="21"/>
                    </w:rPr>
                  </w:pPr>
                  <w:r>
                    <w:rPr>
                      <w:kern w:val="0"/>
                      <w:sz w:val="22"/>
                      <w:szCs w:val="21"/>
                    </w:rPr>
                    <w:t>类别</w:t>
                  </w:r>
                </w:p>
              </w:tc>
              <w:tc>
                <w:tcPr>
                  <w:tcW w:w="1193" w:type="dxa"/>
                  <w:vAlign w:val="center"/>
                </w:tcPr>
                <w:p>
                  <w:pPr>
                    <w:autoSpaceDE w:val="0"/>
                    <w:autoSpaceDN w:val="0"/>
                    <w:jc w:val="center"/>
                    <w:rPr>
                      <w:kern w:val="0"/>
                      <w:sz w:val="22"/>
                      <w:szCs w:val="21"/>
                    </w:rPr>
                  </w:pPr>
                  <w:r>
                    <w:rPr>
                      <w:kern w:val="0"/>
                      <w:sz w:val="22"/>
                      <w:szCs w:val="21"/>
                    </w:rPr>
                    <w:t>项目</w:t>
                  </w:r>
                </w:p>
              </w:tc>
              <w:tc>
                <w:tcPr>
                  <w:tcW w:w="3855" w:type="dxa"/>
                  <w:vAlign w:val="center"/>
                </w:tcPr>
                <w:p>
                  <w:pPr>
                    <w:autoSpaceDE w:val="0"/>
                    <w:autoSpaceDN w:val="0"/>
                    <w:jc w:val="center"/>
                    <w:rPr>
                      <w:kern w:val="0"/>
                      <w:sz w:val="22"/>
                      <w:szCs w:val="21"/>
                    </w:rPr>
                  </w:pPr>
                  <w:r>
                    <w:rPr>
                      <w:kern w:val="0"/>
                      <w:sz w:val="22"/>
                      <w:szCs w:val="21"/>
                    </w:rPr>
                    <w:t>检测方法</w:t>
                  </w:r>
                </w:p>
              </w:tc>
              <w:tc>
                <w:tcPr>
                  <w:tcW w:w="2208" w:type="dxa"/>
                  <w:vAlign w:val="center"/>
                </w:tcPr>
                <w:p>
                  <w:pPr>
                    <w:autoSpaceDE w:val="0"/>
                    <w:autoSpaceDN w:val="0"/>
                    <w:jc w:val="center"/>
                    <w:rPr>
                      <w:kern w:val="0"/>
                      <w:sz w:val="22"/>
                      <w:szCs w:val="21"/>
                    </w:rPr>
                  </w:pPr>
                  <w:r>
                    <w:rPr>
                      <w:kern w:val="0"/>
                      <w:sz w:val="22"/>
                      <w:szCs w:val="21"/>
                    </w:rPr>
                    <w:t>使用仪器</w:t>
                  </w:r>
                </w:p>
              </w:tc>
              <w:tc>
                <w:tcPr>
                  <w:tcW w:w="1188" w:type="dxa"/>
                  <w:vAlign w:val="center"/>
                </w:tcPr>
                <w:p>
                  <w:pPr>
                    <w:autoSpaceDE w:val="0"/>
                    <w:autoSpaceDN w:val="0"/>
                    <w:jc w:val="center"/>
                    <w:rPr>
                      <w:kern w:val="0"/>
                      <w:sz w:val="22"/>
                      <w:szCs w:val="21"/>
                    </w:rPr>
                  </w:pPr>
                  <w:r>
                    <w:rPr>
                      <w:kern w:val="0"/>
                      <w:sz w:val="22"/>
                      <w:szCs w:val="21"/>
                    </w:rPr>
                    <w:t>检出限</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438" w:type="dxa"/>
                  <w:vMerge w:val="restart"/>
                  <w:vAlign w:val="center"/>
                </w:tcPr>
                <w:p>
                  <w:pPr>
                    <w:autoSpaceDE w:val="0"/>
                    <w:autoSpaceDN w:val="0"/>
                    <w:jc w:val="center"/>
                    <w:rPr>
                      <w:kern w:val="0"/>
                      <w:sz w:val="22"/>
                      <w:szCs w:val="21"/>
                    </w:rPr>
                  </w:pPr>
                  <w:r>
                    <w:rPr>
                      <w:kern w:val="0"/>
                      <w:sz w:val="22"/>
                      <w:szCs w:val="21"/>
                    </w:rPr>
                    <w:t>废水</w:t>
                  </w:r>
                </w:p>
              </w:tc>
              <w:tc>
                <w:tcPr>
                  <w:tcW w:w="1193" w:type="dxa"/>
                  <w:vAlign w:val="center"/>
                </w:tcPr>
                <w:p>
                  <w:pPr>
                    <w:widowControl/>
                    <w:autoSpaceDE w:val="0"/>
                    <w:autoSpaceDN w:val="0"/>
                    <w:jc w:val="center"/>
                    <w:rPr>
                      <w:kern w:val="0"/>
                      <w:sz w:val="22"/>
                      <w:szCs w:val="21"/>
                    </w:rPr>
                  </w:pPr>
                  <w:r>
                    <w:rPr>
                      <w:kern w:val="0"/>
                      <w:sz w:val="22"/>
                      <w:szCs w:val="21"/>
                    </w:rPr>
                    <w:t>pH值</w:t>
                  </w:r>
                </w:p>
              </w:tc>
              <w:tc>
                <w:tcPr>
                  <w:tcW w:w="3855" w:type="dxa"/>
                  <w:vAlign w:val="center"/>
                </w:tcPr>
                <w:p>
                  <w:pPr>
                    <w:autoSpaceDE w:val="0"/>
                    <w:autoSpaceDN w:val="0"/>
                    <w:snapToGrid w:val="0"/>
                    <w:jc w:val="center"/>
                    <w:rPr>
                      <w:kern w:val="0"/>
                      <w:sz w:val="22"/>
                      <w:szCs w:val="21"/>
                    </w:rPr>
                  </w:pPr>
                  <w:r>
                    <w:rPr>
                      <w:kern w:val="0"/>
                      <w:sz w:val="22"/>
                      <w:szCs w:val="21"/>
                    </w:rPr>
                    <w:t>水质 pH值的测定 玻璃电极法</w:t>
                  </w:r>
                </w:p>
                <w:p>
                  <w:pPr>
                    <w:autoSpaceDE w:val="0"/>
                    <w:autoSpaceDN w:val="0"/>
                    <w:jc w:val="center"/>
                    <w:rPr>
                      <w:kern w:val="0"/>
                      <w:sz w:val="22"/>
                      <w:szCs w:val="21"/>
                      <w:lang w:eastAsia="en-US"/>
                    </w:rPr>
                  </w:pPr>
                  <w:r>
                    <w:rPr>
                      <w:kern w:val="0"/>
                      <w:sz w:val="22"/>
                      <w:szCs w:val="21"/>
                      <w:lang w:eastAsia="en-US"/>
                    </w:rPr>
                    <w:t>GB/T 6920-1986</w:t>
                  </w:r>
                </w:p>
              </w:tc>
              <w:tc>
                <w:tcPr>
                  <w:tcW w:w="2208" w:type="dxa"/>
                  <w:vAlign w:val="center"/>
                </w:tcPr>
                <w:p>
                  <w:pPr>
                    <w:autoSpaceDE w:val="0"/>
                    <w:autoSpaceDN w:val="0"/>
                    <w:jc w:val="center"/>
                    <w:rPr>
                      <w:kern w:val="0"/>
                      <w:sz w:val="22"/>
                      <w:szCs w:val="21"/>
                      <w:lang w:eastAsia="en-US"/>
                    </w:rPr>
                  </w:pPr>
                  <w:r>
                    <w:rPr>
                      <w:kern w:val="0"/>
                      <w:sz w:val="22"/>
                      <w:szCs w:val="21"/>
                      <w:lang w:eastAsia="en-US"/>
                    </w:rPr>
                    <w:t>pH计</w:t>
                  </w:r>
                </w:p>
                <w:p>
                  <w:pPr>
                    <w:autoSpaceDE w:val="0"/>
                    <w:autoSpaceDN w:val="0"/>
                    <w:jc w:val="center"/>
                    <w:rPr>
                      <w:kern w:val="0"/>
                      <w:sz w:val="22"/>
                      <w:szCs w:val="21"/>
                      <w:lang w:eastAsia="en-US"/>
                    </w:rPr>
                  </w:pPr>
                  <w:r>
                    <w:rPr>
                      <w:kern w:val="0"/>
                      <w:sz w:val="22"/>
                      <w:szCs w:val="21"/>
                      <w:lang w:eastAsia="en-US"/>
                    </w:rPr>
                    <w:t>pHS-3C</w:t>
                  </w:r>
                </w:p>
              </w:tc>
              <w:tc>
                <w:tcPr>
                  <w:tcW w:w="1188" w:type="dxa"/>
                  <w:vAlign w:val="center"/>
                </w:tcPr>
                <w:p>
                  <w:pPr>
                    <w:autoSpaceDE w:val="0"/>
                    <w:autoSpaceDN w:val="0"/>
                    <w:jc w:val="center"/>
                    <w:rPr>
                      <w:kern w:val="0"/>
                      <w:sz w:val="22"/>
                      <w:szCs w:val="21"/>
                    </w:rPr>
                  </w:pPr>
                  <w:r>
                    <w:rPr>
                      <w:kern w:val="0"/>
                      <w:sz w:val="22"/>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438" w:type="dxa"/>
                  <w:vMerge w:val="continue"/>
                  <w:vAlign w:val="center"/>
                </w:tcPr>
                <w:p>
                  <w:pPr>
                    <w:autoSpaceDE w:val="0"/>
                    <w:autoSpaceDN w:val="0"/>
                    <w:jc w:val="center"/>
                    <w:rPr>
                      <w:kern w:val="0"/>
                      <w:sz w:val="22"/>
                      <w:szCs w:val="21"/>
                    </w:rPr>
                  </w:pPr>
                </w:p>
              </w:tc>
              <w:tc>
                <w:tcPr>
                  <w:tcW w:w="1193" w:type="dxa"/>
                  <w:vAlign w:val="center"/>
                </w:tcPr>
                <w:p>
                  <w:pPr>
                    <w:autoSpaceDE w:val="0"/>
                    <w:autoSpaceDN w:val="0"/>
                    <w:jc w:val="center"/>
                    <w:rPr>
                      <w:kern w:val="0"/>
                      <w:sz w:val="22"/>
                      <w:szCs w:val="21"/>
                    </w:rPr>
                  </w:pPr>
                  <w:r>
                    <w:rPr>
                      <w:kern w:val="0"/>
                      <w:sz w:val="22"/>
                      <w:szCs w:val="21"/>
                    </w:rPr>
                    <w:t>悬浮物</w:t>
                  </w:r>
                </w:p>
              </w:tc>
              <w:tc>
                <w:tcPr>
                  <w:tcW w:w="3855" w:type="dxa"/>
                  <w:vAlign w:val="center"/>
                </w:tcPr>
                <w:p>
                  <w:pPr>
                    <w:autoSpaceDE w:val="0"/>
                    <w:autoSpaceDN w:val="0"/>
                    <w:snapToGrid w:val="0"/>
                    <w:jc w:val="center"/>
                    <w:rPr>
                      <w:kern w:val="0"/>
                      <w:sz w:val="22"/>
                      <w:szCs w:val="21"/>
                    </w:rPr>
                  </w:pPr>
                  <w:r>
                    <w:rPr>
                      <w:kern w:val="0"/>
                      <w:sz w:val="22"/>
                      <w:szCs w:val="21"/>
                    </w:rPr>
                    <w:t>水质 悬浮物的测定 重量法</w:t>
                  </w:r>
                </w:p>
                <w:p>
                  <w:pPr>
                    <w:autoSpaceDE w:val="0"/>
                    <w:autoSpaceDN w:val="0"/>
                    <w:jc w:val="center"/>
                    <w:rPr>
                      <w:kern w:val="0"/>
                      <w:sz w:val="22"/>
                      <w:szCs w:val="21"/>
                      <w:lang w:eastAsia="en-US"/>
                    </w:rPr>
                  </w:pPr>
                  <w:r>
                    <w:rPr>
                      <w:kern w:val="0"/>
                      <w:sz w:val="22"/>
                      <w:szCs w:val="21"/>
                      <w:lang w:eastAsia="en-US"/>
                    </w:rPr>
                    <w:t>GB/T 11901-1989</w:t>
                  </w:r>
                </w:p>
              </w:tc>
              <w:tc>
                <w:tcPr>
                  <w:tcW w:w="2208" w:type="dxa"/>
                  <w:vAlign w:val="center"/>
                </w:tcPr>
                <w:p>
                  <w:pPr>
                    <w:autoSpaceDE w:val="0"/>
                    <w:autoSpaceDN w:val="0"/>
                    <w:jc w:val="center"/>
                    <w:rPr>
                      <w:kern w:val="0"/>
                      <w:sz w:val="22"/>
                      <w:szCs w:val="21"/>
                      <w:lang w:eastAsia="en-US"/>
                    </w:rPr>
                  </w:pPr>
                  <w:r>
                    <w:rPr>
                      <w:kern w:val="0"/>
                      <w:sz w:val="22"/>
                      <w:szCs w:val="21"/>
                      <w:lang w:eastAsia="en-US"/>
                    </w:rPr>
                    <w:t>电子天平</w:t>
                  </w:r>
                </w:p>
                <w:p>
                  <w:pPr>
                    <w:autoSpaceDE w:val="0"/>
                    <w:autoSpaceDN w:val="0"/>
                    <w:jc w:val="center"/>
                    <w:rPr>
                      <w:kern w:val="0"/>
                      <w:sz w:val="22"/>
                      <w:szCs w:val="21"/>
                      <w:lang w:eastAsia="en-US"/>
                    </w:rPr>
                  </w:pPr>
                  <w:r>
                    <w:rPr>
                      <w:kern w:val="0"/>
                      <w:sz w:val="22"/>
                      <w:szCs w:val="21"/>
                      <w:lang w:eastAsia="en-US"/>
                    </w:rPr>
                    <w:t>XS105DU</w:t>
                  </w:r>
                </w:p>
              </w:tc>
              <w:tc>
                <w:tcPr>
                  <w:tcW w:w="1188" w:type="dxa"/>
                  <w:vAlign w:val="center"/>
                </w:tcPr>
                <w:p>
                  <w:pPr>
                    <w:autoSpaceDE w:val="0"/>
                    <w:autoSpaceDN w:val="0"/>
                    <w:jc w:val="center"/>
                    <w:rPr>
                      <w:kern w:val="0"/>
                      <w:sz w:val="22"/>
                      <w:szCs w:val="21"/>
                    </w:rPr>
                  </w:pPr>
                  <w:r>
                    <w:rPr>
                      <w:kern w:val="0"/>
                      <w:sz w:val="22"/>
                      <w:szCs w:val="21"/>
                    </w:rPr>
                    <w:t>4</w:t>
                  </w:r>
                  <w:r>
                    <w:rPr>
                      <w:kern w:val="0"/>
                      <w:sz w:val="22"/>
                      <w:szCs w:val="21"/>
                      <w:lang w:eastAsia="en-US"/>
                    </w:rPr>
                    <w:t xml:space="preserve"> 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438" w:type="dxa"/>
                  <w:vMerge w:val="continue"/>
                  <w:vAlign w:val="center"/>
                </w:tcPr>
                <w:p>
                  <w:pPr>
                    <w:autoSpaceDE w:val="0"/>
                    <w:autoSpaceDN w:val="0"/>
                    <w:jc w:val="center"/>
                    <w:rPr>
                      <w:kern w:val="0"/>
                      <w:sz w:val="22"/>
                      <w:szCs w:val="21"/>
                    </w:rPr>
                  </w:pPr>
                </w:p>
              </w:tc>
              <w:tc>
                <w:tcPr>
                  <w:tcW w:w="1193" w:type="dxa"/>
                  <w:vAlign w:val="center"/>
                </w:tcPr>
                <w:p>
                  <w:pPr>
                    <w:autoSpaceDE w:val="0"/>
                    <w:autoSpaceDN w:val="0"/>
                    <w:jc w:val="center"/>
                    <w:rPr>
                      <w:kern w:val="0"/>
                      <w:sz w:val="22"/>
                      <w:szCs w:val="21"/>
                    </w:rPr>
                  </w:pPr>
                  <w:r>
                    <w:rPr>
                      <w:kern w:val="0"/>
                      <w:sz w:val="22"/>
                      <w:szCs w:val="21"/>
                    </w:rPr>
                    <w:t>化学需氧量</w:t>
                  </w:r>
                </w:p>
              </w:tc>
              <w:tc>
                <w:tcPr>
                  <w:tcW w:w="3855" w:type="dxa"/>
                  <w:vAlign w:val="center"/>
                </w:tcPr>
                <w:p>
                  <w:pPr>
                    <w:autoSpaceDE w:val="0"/>
                    <w:autoSpaceDN w:val="0"/>
                    <w:snapToGrid w:val="0"/>
                    <w:jc w:val="center"/>
                    <w:rPr>
                      <w:kern w:val="0"/>
                      <w:sz w:val="22"/>
                      <w:szCs w:val="21"/>
                    </w:rPr>
                  </w:pPr>
                  <w:r>
                    <w:rPr>
                      <w:kern w:val="0"/>
                      <w:sz w:val="22"/>
                      <w:szCs w:val="21"/>
                    </w:rPr>
                    <w:t>快速密闭催化消解法</w:t>
                  </w:r>
                </w:p>
                <w:p>
                  <w:pPr>
                    <w:autoSpaceDE w:val="0"/>
                    <w:autoSpaceDN w:val="0"/>
                    <w:snapToGrid w:val="0"/>
                    <w:jc w:val="center"/>
                    <w:rPr>
                      <w:kern w:val="0"/>
                      <w:sz w:val="22"/>
                      <w:szCs w:val="21"/>
                    </w:rPr>
                  </w:pPr>
                  <w:r>
                    <w:rPr>
                      <w:kern w:val="0"/>
                      <w:sz w:val="22"/>
                      <w:szCs w:val="21"/>
                    </w:rPr>
                    <w:t>《水和废水监测分析方法》</w:t>
                  </w:r>
                </w:p>
                <w:p>
                  <w:pPr>
                    <w:autoSpaceDE w:val="0"/>
                    <w:autoSpaceDN w:val="0"/>
                    <w:jc w:val="center"/>
                    <w:rPr>
                      <w:kern w:val="0"/>
                      <w:sz w:val="22"/>
                      <w:szCs w:val="21"/>
                    </w:rPr>
                  </w:pPr>
                  <w:r>
                    <w:rPr>
                      <w:kern w:val="0"/>
                      <w:sz w:val="22"/>
                      <w:szCs w:val="21"/>
                    </w:rPr>
                    <w:t>（国家保护总局2002年 第四版）增补版</w:t>
                  </w:r>
                </w:p>
                <w:p>
                  <w:pPr>
                    <w:autoSpaceDE w:val="0"/>
                    <w:autoSpaceDN w:val="0"/>
                    <w:jc w:val="center"/>
                    <w:rPr>
                      <w:kern w:val="0"/>
                      <w:sz w:val="22"/>
                      <w:szCs w:val="21"/>
                      <w:lang w:eastAsia="en-US"/>
                    </w:rPr>
                  </w:pPr>
                  <w:r>
                    <w:rPr>
                      <w:iCs/>
                      <w:kern w:val="0"/>
                      <w:sz w:val="22"/>
                      <w:szCs w:val="21"/>
                      <w:lang w:eastAsia="en-US"/>
                    </w:rPr>
                    <w:t>第三篇，第三章，二（三）</w:t>
                  </w:r>
                </w:p>
              </w:tc>
              <w:tc>
                <w:tcPr>
                  <w:tcW w:w="2208" w:type="dxa"/>
                  <w:vAlign w:val="center"/>
                </w:tcPr>
                <w:p>
                  <w:pPr>
                    <w:autoSpaceDE w:val="0"/>
                    <w:autoSpaceDN w:val="0"/>
                    <w:jc w:val="center"/>
                    <w:rPr>
                      <w:kern w:val="0"/>
                      <w:sz w:val="22"/>
                      <w:szCs w:val="21"/>
                      <w:lang w:eastAsia="en-US"/>
                    </w:rPr>
                  </w:pPr>
                  <w:r>
                    <w:rPr>
                      <w:kern w:val="0"/>
                      <w:sz w:val="22"/>
                      <w:szCs w:val="21"/>
                      <w:lang w:eastAsia="en-US"/>
                    </w:rPr>
                    <w:t>全自动进样滴定系统</w:t>
                  </w:r>
                </w:p>
                <w:p>
                  <w:pPr>
                    <w:autoSpaceDE w:val="0"/>
                    <w:autoSpaceDN w:val="0"/>
                    <w:jc w:val="center"/>
                    <w:rPr>
                      <w:kern w:val="0"/>
                      <w:sz w:val="22"/>
                      <w:szCs w:val="21"/>
                      <w:lang w:eastAsia="en-US"/>
                    </w:rPr>
                  </w:pPr>
                  <w:r>
                    <w:rPr>
                      <w:kern w:val="0"/>
                      <w:sz w:val="22"/>
                      <w:szCs w:val="21"/>
                      <w:lang w:eastAsia="en-US"/>
                    </w:rPr>
                    <w:t>855 Titrando</w:t>
                  </w:r>
                </w:p>
              </w:tc>
              <w:tc>
                <w:tcPr>
                  <w:tcW w:w="1188" w:type="dxa"/>
                  <w:vAlign w:val="center"/>
                </w:tcPr>
                <w:p>
                  <w:pPr>
                    <w:autoSpaceDE w:val="0"/>
                    <w:autoSpaceDN w:val="0"/>
                    <w:spacing w:line="276" w:lineRule="auto"/>
                    <w:jc w:val="center"/>
                    <w:rPr>
                      <w:kern w:val="0"/>
                      <w:sz w:val="22"/>
                      <w:szCs w:val="21"/>
                      <w:lang w:eastAsia="en-US"/>
                    </w:rPr>
                  </w:pPr>
                  <w:r>
                    <w:rPr>
                      <w:kern w:val="0"/>
                      <w:sz w:val="22"/>
                      <w:szCs w:val="21"/>
                      <w:lang w:eastAsia="en-US"/>
                    </w:rPr>
                    <w:t>5mg/L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438" w:type="dxa"/>
                  <w:vMerge w:val="continue"/>
                  <w:vAlign w:val="center"/>
                </w:tcPr>
                <w:p>
                  <w:pPr>
                    <w:autoSpaceDE w:val="0"/>
                    <w:autoSpaceDN w:val="0"/>
                    <w:jc w:val="center"/>
                    <w:rPr>
                      <w:kern w:val="0"/>
                      <w:sz w:val="22"/>
                      <w:szCs w:val="21"/>
                    </w:rPr>
                  </w:pPr>
                </w:p>
              </w:tc>
              <w:tc>
                <w:tcPr>
                  <w:tcW w:w="1193" w:type="dxa"/>
                  <w:vAlign w:val="center"/>
                </w:tcPr>
                <w:p>
                  <w:pPr>
                    <w:autoSpaceDE w:val="0"/>
                    <w:autoSpaceDN w:val="0"/>
                    <w:jc w:val="center"/>
                    <w:rPr>
                      <w:kern w:val="0"/>
                      <w:sz w:val="22"/>
                      <w:szCs w:val="21"/>
                    </w:rPr>
                  </w:pPr>
                  <w:r>
                    <w:rPr>
                      <w:kern w:val="0"/>
                      <w:sz w:val="22"/>
                      <w:szCs w:val="21"/>
                    </w:rPr>
                    <w:t>氨氮</w:t>
                  </w:r>
                </w:p>
              </w:tc>
              <w:tc>
                <w:tcPr>
                  <w:tcW w:w="3855" w:type="dxa"/>
                  <w:vAlign w:val="center"/>
                </w:tcPr>
                <w:p>
                  <w:pPr>
                    <w:autoSpaceDE w:val="0"/>
                    <w:autoSpaceDN w:val="0"/>
                    <w:snapToGrid w:val="0"/>
                    <w:ind w:left="-109" w:leftChars="-52" w:right="-151" w:rightChars="-72"/>
                    <w:jc w:val="center"/>
                    <w:rPr>
                      <w:kern w:val="0"/>
                      <w:sz w:val="22"/>
                      <w:szCs w:val="21"/>
                    </w:rPr>
                  </w:pPr>
                  <w:r>
                    <w:rPr>
                      <w:kern w:val="0"/>
                      <w:sz w:val="22"/>
                      <w:szCs w:val="21"/>
                    </w:rPr>
                    <w:t xml:space="preserve">水质 氨氮的测定 </w:t>
                  </w:r>
                </w:p>
                <w:p>
                  <w:pPr>
                    <w:autoSpaceDE w:val="0"/>
                    <w:autoSpaceDN w:val="0"/>
                    <w:snapToGrid w:val="0"/>
                    <w:ind w:left="-109" w:leftChars="-52" w:right="-151" w:rightChars="-72"/>
                    <w:jc w:val="center"/>
                    <w:rPr>
                      <w:kern w:val="0"/>
                      <w:sz w:val="22"/>
                      <w:szCs w:val="21"/>
                    </w:rPr>
                  </w:pPr>
                  <w:r>
                    <w:rPr>
                      <w:kern w:val="0"/>
                      <w:sz w:val="22"/>
                      <w:szCs w:val="21"/>
                    </w:rPr>
                    <w:t>纳氏试剂分光光度法</w:t>
                  </w:r>
                </w:p>
                <w:p>
                  <w:pPr>
                    <w:autoSpaceDE w:val="0"/>
                    <w:autoSpaceDN w:val="0"/>
                    <w:jc w:val="center"/>
                    <w:rPr>
                      <w:kern w:val="0"/>
                      <w:sz w:val="22"/>
                      <w:szCs w:val="21"/>
                      <w:lang w:eastAsia="en-US"/>
                    </w:rPr>
                  </w:pPr>
                  <w:r>
                    <w:rPr>
                      <w:kern w:val="0"/>
                      <w:sz w:val="22"/>
                      <w:szCs w:val="21"/>
                      <w:lang w:eastAsia="en-US"/>
                    </w:rPr>
                    <w:t>HJ 535-2009</w:t>
                  </w:r>
                </w:p>
              </w:tc>
              <w:tc>
                <w:tcPr>
                  <w:tcW w:w="2208" w:type="dxa"/>
                  <w:vAlign w:val="center"/>
                </w:tcPr>
                <w:p>
                  <w:pPr>
                    <w:autoSpaceDE w:val="0"/>
                    <w:autoSpaceDN w:val="0"/>
                    <w:jc w:val="center"/>
                    <w:rPr>
                      <w:kern w:val="0"/>
                      <w:sz w:val="22"/>
                      <w:szCs w:val="21"/>
                    </w:rPr>
                  </w:pPr>
                  <w:r>
                    <w:rPr>
                      <w:kern w:val="0"/>
                      <w:sz w:val="22"/>
                      <w:szCs w:val="21"/>
                    </w:rPr>
                    <w:t>紫外可见分光光度计</w:t>
                  </w:r>
                </w:p>
                <w:p>
                  <w:pPr>
                    <w:autoSpaceDE w:val="0"/>
                    <w:autoSpaceDN w:val="0"/>
                    <w:jc w:val="center"/>
                    <w:rPr>
                      <w:kern w:val="0"/>
                      <w:sz w:val="22"/>
                      <w:szCs w:val="21"/>
                    </w:rPr>
                  </w:pPr>
                  <w:r>
                    <w:rPr>
                      <w:kern w:val="0"/>
                      <w:sz w:val="22"/>
                      <w:szCs w:val="21"/>
                    </w:rPr>
                    <w:t>UV-7504</w:t>
                  </w:r>
                </w:p>
              </w:tc>
              <w:tc>
                <w:tcPr>
                  <w:tcW w:w="1188" w:type="dxa"/>
                  <w:vAlign w:val="center"/>
                </w:tcPr>
                <w:p>
                  <w:pPr>
                    <w:autoSpaceDE w:val="0"/>
                    <w:autoSpaceDN w:val="0"/>
                    <w:jc w:val="center"/>
                    <w:rPr>
                      <w:kern w:val="0"/>
                      <w:sz w:val="22"/>
                      <w:szCs w:val="21"/>
                      <w:lang w:eastAsia="en-US"/>
                    </w:rPr>
                  </w:pPr>
                  <w:r>
                    <w:rPr>
                      <w:kern w:val="0"/>
                      <w:sz w:val="22"/>
                      <w:szCs w:val="21"/>
                      <w:lang w:eastAsia="en-US"/>
                    </w:rPr>
                    <w:t>0.025mg/L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blHeader/>
                <w:jc w:val="center"/>
              </w:trPr>
              <w:tc>
                <w:tcPr>
                  <w:tcW w:w="438" w:type="dxa"/>
                  <w:vMerge w:val="continue"/>
                  <w:vAlign w:val="center"/>
                </w:tcPr>
                <w:p>
                  <w:pPr>
                    <w:autoSpaceDE w:val="0"/>
                    <w:autoSpaceDN w:val="0"/>
                    <w:jc w:val="center"/>
                    <w:rPr>
                      <w:kern w:val="0"/>
                      <w:sz w:val="22"/>
                      <w:szCs w:val="21"/>
                    </w:rPr>
                  </w:pPr>
                </w:p>
              </w:tc>
              <w:tc>
                <w:tcPr>
                  <w:tcW w:w="1193" w:type="dxa"/>
                  <w:vAlign w:val="center"/>
                </w:tcPr>
                <w:p>
                  <w:pPr>
                    <w:autoSpaceDE w:val="0"/>
                    <w:autoSpaceDN w:val="0"/>
                    <w:jc w:val="center"/>
                    <w:rPr>
                      <w:kern w:val="0"/>
                      <w:sz w:val="22"/>
                      <w:szCs w:val="21"/>
                    </w:rPr>
                  </w:pPr>
                  <w:r>
                    <w:rPr>
                      <w:kern w:val="0"/>
                      <w:sz w:val="22"/>
                      <w:szCs w:val="21"/>
                    </w:rPr>
                    <w:t>LAS</w:t>
                  </w:r>
                </w:p>
              </w:tc>
              <w:tc>
                <w:tcPr>
                  <w:tcW w:w="3855" w:type="dxa"/>
                  <w:vAlign w:val="center"/>
                </w:tcPr>
                <w:p>
                  <w:pPr>
                    <w:autoSpaceDE w:val="0"/>
                    <w:autoSpaceDN w:val="0"/>
                    <w:jc w:val="center"/>
                    <w:rPr>
                      <w:kern w:val="0"/>
                      <w:sz w:val="22"/>
                      <w:szCs w:val="22"/>
                    </w:rPr>
                  </w:pPr>
                  <w:r>
                    <w:rPr>
                      <w:kern w:val="0"/>
                      <w:sz w:val="22"/>
                      <w:szCs w:val="22"/>
                    </w:rPr>
                    <w:t xml:space="preserve">水质 阴离子表面活性剂的测定 亚甲蓝分光光度法 GB/T 7494-1987 </w:t>
                  </w:r>
                </w:p>
              </w:tc>
              <w:tc>
                <w:tcPr>
                  <w:tcW w:w="2208" w:type="dxa"/>
                  <w:vAlign w:val="center"/>
                </w:tcPr>
                <w:p>
                  <w:pPr>
                    <w:autoSpaceDE w:val="0"/>
                    <w:autoSpaceDN w:val="0"/>
                    <w:jc w:val="center"/>
                    <w:rPr>
                      <w:kern w:val="0"/>
                      <w:sz w:val="22"/>
                      <w:szCs w:val="21"/>
                    </w:rPr>
                  </w:pPr>
                  <w:r>
                    <w:rPr>
                      <w:kern w:val="0"/>
                      <w:sz w:val="22"/>
                      <w:szCs w:val="21"/>
                    </w:rPr>
                    <w:t>紫外可见分光光度计</w:t>
                  </w:r>
                </w:p>
                <w:p>
                  <w:pPr>
                    <w:autoSpaceDE w:val="0"/>
                    <w:autoSpaceDN w:val="0"/>
                    <w:jc w:val="center"/>
                    <w:rPr>
                      <w:kern w:val="0"/>
                      <w:sz w:val="22"/>
                      <w:szCs w:val="21"/>
                    </w:rPr>
                  </w:pPr>
                  <w:r>
                    <w:rPr>
                      <w:kern w:val="0"/>
                      <w:sz w:val="22"/>
                      <w:szCs w:val="21"/>
                    </w:rPr>
                    <w:t>UV-7504</w:t>
                  </w:r>
                </w:p>
              </w:tc>
              <w:tc>
                <w:tcPr>
                  <w:tcW w:w="1188" w:type="dxa"/>
                  <w:vAlign w:val="center"/>
                </w:tcPr>
                <w:p>
                  <w:pPr>
                    <w:autoSpaceDE w:val="0"/>
                    <w:autoSpaceDN w:val="0"/>
                    <w:jc w:val="center"/>
                    <w:rPr>
                      <w:kern w:val="0"/>
                      <w:sz w:val="22"/>
                      <w:szCs w:val="22"/>
                    </w:rPr>
                  </w:pPr>
                  <w:r>
                    <w:rPr>
                      <w:kern w:val="0"/>
                      <w:sz w:val="22"/>
                      <w:szCs w:val="22"/>
                    </w:rPr>
                    <w:t>0.05 mg/L</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438" w:type="dxa"/>
                  <w:vMerge w:val="restart"/>
                  <w:vAlign w:val="center"/>
                </w:tcPr>
                <w:p>
                  <w:pPr>
                    <w:autoSpaceDE w:val="0"/>
                    <w:autoSpaceDN w:val="0"/>
                    <w:jc w:val="center"/>
                    <w:rPr>
                      <w:kern w:val="0"/>
                      <w:sz w:val="22"/>
                      <w:szCs w:val="21"/>
                    </w:rPr>
                  </w:pPr>
                  <w:r>
                    <w:rPr>
                      <w:kern w:val="0"/>
                      <w:sz w:val="22"/>
                      <w:szCs w:val="21"/>
                    </w:rPr>
                    <w:t>废气</w:t>
                  </w:r>
                </w:p>
              </w:tc>
              <w:tc>
                <w:tcPr>
                  <w:tcW w:w="1193" w:type="dxa"/>
                  <w:vAlign w:val="center"/>
                </w:tcPr>
                <w:p>
                  <w:pPr>
                    <w:autoSpaceDE w:val="0"/>
                    <w:autoSpaceDN w:val="0"/>
                    <w:adjustRightInd w:val="0"/>
                    <w:jc w:val="center"/>
                    <w:rPr>
                      <w:color w:val="000000" w:themeColor="text1"/>
                      <w:kern w:val="0"/>
                      <w:sz w:val="22"/>
                      <w:szCs w:val="21"/>
                    </w:rPr>
                  </w:pPr>
                  <w:r>
                    <w:rPr>
                      <w:color w:val="000000" w:themeColor="text1"/>
                      <w:kern w:val="0"/>
                      <w:sz w:val="22"/>
                      <w:szCs w:val="21"/>
                    </w:rPr>
                    <w:t>硫酸雾</w:t>
                  </w:r>
                </w:p>
              </w:tc>
              <w:tc>
                <w:tcPr>
                  <w:tcW w:w="3855" w:type="dxa"/>
                  <w:vAlign w:val="center"/>
                </w:tcPr>
                <w:p>
                  <w:pPr>
                    <w:snapToGrid w:val="0"/>
                    <w:rPr>
                      <w:szCs w:val="21"/>
                    </w:rPr>
                  </w:pPr>
                  <w:r>
                    <w:rPr>
                      <w:rFonts w:hint="eastAsia"/>
                      <w:szCs w:val="21"/>
                    </w:rPr>
                    <w:t>固定污染源废气硫酸雾的测定</w:t>
                  </w:r>
                </w:p>
                <w:p>
                  <w:pPr>
                    <w:widowControl/>
                    <w:autoSpaceDE w:val="0"/>
                    <w:autoSpaceDN w:val="0"/>
                    <w:jc w:val="center"/>
                    <w:rPr>
                      <w:color w:val="FF0000"/>
                      <w:kern w:val="0"/>
                      <w:sz w:val="22"/>
                      <w:szCs w:val="21"/>
                      <w:highlight w:val="yellow"/>
                    </w:rPr>
                  </w:pPr>
                  <w:r>
                    <w:rPr>
                      <w:rFonts w:hint="eastAsia"/>
                      <w:szCs w:val="21"/>
                    </w:rPr>
                    <w:t>离子色谱法HJ 544-2016</w:t>
                  </w:r>
                </w:p>
              </w:tc>
              <w:tc>
                <w:tcPr>
                  <w:tcW w:w="2208" w:type="dxa"/>
                  <w:vAlign w:val="center"/>
                </w:tcPr>
                <w:p>
                  <w:pPr>
                    <w:jc w:val="center"/>
                    <w:rPr>
                      <w:szCs w:val="21"/>
                    </w:rPr>
                  </w:pPr>
                  <w:r>
                    <w:rPr>
                      <w:rFonts w:hint="eastAsia"/>
                      <w:szCs w:val="21"/>
                    </w:rPr>
                    <w:t>离子色谱仪</w:t>
                  </w:r>
                </w:p>
                <w:p>
                  <w:pPr>
                    <w:widowControl/>
                    <w:autoSpaceDE w:val="0"/>
                    <w:autoSpaceDN w:val="0"/>
                    <w:jc w:val="center"/>
                    <w:rPr>
                      <w:color w:val="FF0000"/>
                      <w:kern w:val="0"/>
                      <w:sz w:val="22"/>
                      <w:szCs w:val="21"/>
                      <w:highlight w:val="yellow"/>
                    </w:rPr>
                  </w:pPr>
                  <w:r>
                    <w:rPr>
                      <w:rFonts w:hint="eastAsia"/>
                      <w:szCs w:val="21"/>
                    </w:rPr>
                    <w:t>ICS-1100</w:t>
                  </w:r>
                </w:p>
              </w:tc>
              <w:tc>
                <w:tcPr>
                  <w:tcW w:w="1188" w:type="dxa"/>
                  <w:vAlign w:val="center"/>
                </w:tcPr>
                <w:p>
                  <w:pPr>
                    <w:widowControl/>
                    <w:autoSpaceDE w:val="0"/>
                    <w:autoSpaceDN w:val="0"/>
                    <w:jc w:val="center"/>
                    <w:rPr>
                      <w:color w:val="FF0000"/>
                      <w:kern w:val="0"/>
                      <w:sz w:val="22"/>
                      <w:szCs w:val="21"/>
                      <w:highlight w:val="yellow"/>
                    </w:rPr>
                  </w:pPr>
                  <w:r>
                    <w:rPr>
                      <w:rFonts w:hint="eastAsia"/>
                      <w:szCs w:val="21"/>
                    </w:rPr>
                    <w:t>0.2 mg/m</w:t>
                  </w:r>
                  <w:r>
                    <w:rPr>
                      <w:rFonts w:hint="eastAsia"/>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438" w:type="dxa"/>
                  <w:vMerge w:val="continue"/>
                  <w:vAlign w:val="center"/>
                </w:tcPr>
                <w:p>
                  <w:pPr>
                    <w:autoSpaceDE w:val="0"/>
                    <w:autoSpaceDN w:val="0"/>
                    <w:jc w:val="center"/>
                    <w:rPr>
                      <w:kern w:val="0"/>
                      <w:sz w:val="22"/>
                      <w:szCs w:val="21"/>
                    </w:rPr>
                  </w:pPr>
                </w:p>
              </w:tc>
              <w:tc>
                <w:tcPr>
                  <w:tcW w:w="1193" w:type="dxa"/>
                  <w:vAlign w:val="center"/>
                </w:tcPr>
                <w:p>
                  <w:pPr>
                    <w:autoSpaceDE w:val="0"/>
                    <w:autoSpaceDN w:val="0"/>
                    <w:adjustRightInd w:val="0"/>
                    <w:jc w:val="center"/>
                    <w:rPr>
                      <w:color w:val="000000" w:themeColor="text1"/>
                      <w:kern w:val="0"/>
                      <w:sz w:val="22"/>
                      <w:szCs w:val="21"/>
                    </w:rPr>
                  </w:pPr>
                  <w:r>
                    <w:rPr>
                      <w:color w:val="000000" w:themeColor="text1"/>
                      <w:kern w:val="0"/>
                      <w:sz w:val="22"/>
                      <w:szCs w:val="21"/>
                    </w:rPr>
                    <w:t>氯化氢</w:t>
                  </w:r>
                </w:p>
              </w:tc>
              <w:tc>
                <w:tcPr>
                  <w:tcW w:w="3855" w:type="dxa"/>
                  <w:vAlign w:val="center"/>
                </w:tcPr>
                <w:p>
                  <w:pPr>
                    <w:widowControl/>
                    <w:autoSpaceDE w:val="0"/>
                    <w:autoSpaceDN w:val="0"/>
                    <w:jc w:val="center"/>
                    <w:rPr>
                      <w:kern w:val="0"/>
                      <w:sz w:val="22"/>
                      <w:szCs w:val="21"/>
                    </w:rPr>
                  </w:pPr>
                  <w:r>
                    <w:rPr>
                      <w:kern w:val="0"/>
                      <w:sz w:val="22"/>
                      <w:szCs w:val="21"/>
                    </w:rPr>
                    <w:t>环境空气和废气</w:t>
                  </w:r>
                  <w:r>
                    <w:rPr>
                      <w:rFonts w:hint="eastAsia"/>
                      <w:kern w:val="0"/>
                      <w:sz w:val="22"/>
                      <w:szCs w:val="21"/>
                    </w:rPr>
                    <w:t xml:space="preserve"> 氯化氢的测定</w:t>
                  </w:r>
                </w:p>
                <w:p>
                  <w:pPr>
                    <w:widowControl/>
                    <w:autoSpaceDE w:val="0"/>
                    <w:autoSpaceDN w:val="0"/>
                    <w:jc w:val="center"/>
                    <w:rPr>
                      <w:kern w:val="0"/>
                      <w:sz w:val="22"/>
                      <w:szCs w:val="21"/>
                    </w:rPr>
                  </w:pPr>
                  <w:r>
                    <w:rPr>
                      <w:kern w:val="0"/>
                      <w:sz w:val="22"/>
                      <w:szCs w:val="21"/>
                    </w:rPr>
                    <w:t>离子色谱法</w:t>
                  </w:r>
                  <w:r>
                    <w:rPr>
                      <w:rFonts w:hint="eastAsia"/>
                      <w:kern w:val="0"/>
                      <w:sz w:val="22"/>
                      <w:szCs w:val="21"/>
                    </w:rPr>
                    <w:t xml:space="preserve"> HJ 549-2016</w:t>
                  </w:r>
                </w:p>
              </w:tc>
              <w:tc>
                <w:tcPr>
                  <w:tcW w:w="2208" w:type="dxa"/>
                  <w:vAlign w:val="center"/>
                </w:tcPr>
                <w:p>
                  <w:pPr>
                    <w:widowControl/>
                    <w:autoSpaceDE w:val="0"/>
                    <w:autoSpaceDN w:val="0"/>
                    <w:jc w:val="center"/>
                    <w:rPr>
                      <w:kern w:val="0"/>
                      <w:sz w:val="22"/>
                      <w:szCs w:val="21"/>
                    </w:rPr>
                  </w:pPr>
                  <w:r>
                    <w:rPr>
                      <w:rFonts w:hint="eastAsia"/>
                      <w:kern w:val="0"/>
                      <w:sz w:val="22"/>
                      <w:szCs w:val="21"/>
                    </w:rPr>
                    <w:t>离子色谱仪</w:t>
                  </w:r>
                </w:p>
                <w:p>
                  <w:pPr>
                    <w:widowControl/>
                    <w:autoSpaceDE w:val="0"/>
                    <w:autoSpaceDN w:val="0"/>
                    <w:jc w:val="center"/>
                    <w:rPr>
                      <w:kern w:val="0"/>
                      <w:sz w:val="22"/>
                      <w:szCs w:val="21"/>
                    </w:rPr>
                  </w:pPr>
                  <w:r>
                    <w:rPr>
                      <w:kern w:val="0"/>
                      <w:sz w:val="22"/>
                      <w:szCs w:val="21"/>
                    </w:rPr>
                    <w:t>ICS-1100</w:t>
                  </w:r>
                </w:p>
              </w:tc>
              <w:tc>
                <w:tcPr>
                  <w:tcW w:w="1188" w:type="dxa"/>
                  <w:vAlign w:val="center"/>
                </w:tcPr>
                <w:p>
                  <w:pPr>
                    <w:widowControl/>
                    <w:autoSpaceDE w:val="0"/>
                    <w:autoSpaceDN w:val="0"/>
                    <w:jc w:val="center"/>
                    <w:rPr>
                      <w:kern w:val="0"/>
                      <w:sz w:val="22"/>
                      <w:szCs w:val="21"/>
                    </w:rPr>
                  </w:pPr>
                  <w:r>
                    <w:rPr>
                      <w:kern w:val="0"/>
                      <w:sz w:val="22"/>
                      <w:szCs w:val="21"/>
                    </w:rPr>
                    <w:t>0.2mg/m</w:t>
                  </w:r>
                  <w:r>
                    <w:rPr>
                      <w:kern w:val="0"/>
                      <w:sz w:val="22"/>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438" w:type="dxa"/>
                  <w:vMerge w:val="continue"/>
                  <w:vAlign w:val="center"/>
                </w:tcPr>
                <w:p>
                  <w:pPr>
                    <w:autoSpaceDE w:val="0"/>
                    <w:autoSpaceDN w:val="0"/>
                    <w:jc w:val="center"/>
                    <w:rPr>
                      <w:kern w:val="0"/>
                      <w:sz w:val="22"/>
                      <w:szCs w:val="21"/>
                    </w:rPr>
                  </w:pPr>
                </w:p>
              </w:tc>
              <w:tc>
                <w:tcPr>
                  <w:tcW w:w="1193" w:type="dxa"/>
                  <w:vAlign w:val="center"/>
                </w:tcPr>
                <w:p>
                  <w:pPr>
                    <w:autoSpaceDE w:val="0"/>
                    <w:autoSpaceDN w:val="0"/>
                    <w:adjustRightInd w:val="0"/>
                    <w:jc w:val="center"/>
                    <w:rPr>
                      <w:color w:val="000000" w:themeColor="text1"/>
                      <w:kern w:val="0"/>
                      <w:sz w:val="22"/>
                      <w:szCs w:val="21"/>
                    </w:rPr>
                  </w:pPr>
                  <w:r>
                    <w:rPr>
                      <w:color w:val="000000" w:themeColor="text1"/>
                      <w:kern w:val="0"/>
                      <w:sz w:val="22"/>
                      <w:szCs w:val="21"/>
                    </w:rPr>
                    <w:t>颗粒物</w:t>
                  </w:r>
                </w:p>
              </w:tc>
              <w:tc>
                <w:tcPr>
                  <w:tcW w:w="3855" w:type="dxa"/>
                  <w:vAlign w:val="center"/>
                </w:tcPr>
                <w:p>
                  <w:pPr>
                    <w:snapToGrid w:val="0"/>
                    <w:jc w:val="center"/>
                    <w:rPr>
                      <w:szCs w:val="21"/>
                    </w:rPr>
                  </w:pPr>
                  <w:r>
                    <w:rPr>
                      <w:szCs w:val="21"/>
                    </w:rPr>
                    <w:t>固定污染源排气中颗粒物测定与气态污染物采样方法</w:t>
                  </w:r>
                </w:p>
                <w:p>
                  <w:pPr>
                    <w:widowControl/>
                    <w:autoSpaceDE w:val="0"/>
                    <w:autoSpaceDN w:val="0"/>
                    <w:jc w:val="center"/>
                    <w:rPr>
                      <w:color w:val="FF0000"/>
                      <w:kern w:val="0"/>
                      <w:sz w:val="22"/>
                      <w:szCs w:val="21"/>
                      <w:highlight w:val="yellow"/>
                    </w:rPr>
                  </w:pPr>
                  <w:r>
                    <w:rPr>
                      <w:szCs w:val="21"/>
                    </w:rPr>
                    <w:t>GB/T 16157-1996</w:t>
                  </w:r>
                </w:p>
              </w:tc>
              <w:tc>
                <w:tcPr>
                  <w:tcW w:w="2208" w:type="dxa"/>
                  <w:vAlign w:val="center"/>
                </w:tcPr>
                <w:p>
                  <w:pPr>
                    <w:jc w:val="center"/>
                    <w:rPr>
                      <w:szCs w:val="21"/>
                    </w:rPr>
                  </w:pPr>
                  <w:r>
                    <w:rPr>
                      <w:rFonts w:hint="eastAsia"/>
                      <w:szCs w:val="21"/>
                    </w:rPr>
                    <w:t>电子天平</w:t>
                  </w:r>
                </w:p>
                <w:p>
                  <w:pPr>
                    <w:widowControl/>
                    <w:autoSpaceDE w:val="0"/>
                    <w:autoSpaceDN w:val="0"/>
                    <w:jc w:val="center"/>
                    <w:rPr>
                      <w:color w:val="FF0000"/>
                      <w:kern w:val="0"/>
                      <w:sz w:val="22"/>
                      <w:szCs w:val="21"/>
                      <w:highlight w:val="yellow"/>
                    </w:rPr>
                  </w:pPr>
                  <w:r>
                    <w:rPr>
                      <w:rFonts w:hint="eastAsia"/>
                      <w:szCs w:val="21"/>
                    </w:rPr>
                    <w:t>XS105DU</w:t>
                  </w:r>
                </w:p>
              </w:tc>
              <w:tc>
                <w:tcPr>
                  <w:tcW w:w="1188" w:type="dxa"/>
                  <w:vAlign w:val="center"/>
                </w:tcPr>
                <w:p>
                  <w:pPr>
                    <w:widowControl/>
                    <w:autoSpaceDE w:val="0"/>
                    <w:autoSpaceDN w:val="0"/>
                    <w:jc w:val="center"/>
                    <w:rPr>
                      <w:color w:val="FF0000"/>
                      <w:kern w:val="0"/>
                      <w:sz w:val="22"/>
                      <w:szCs w:val="21"/>
                      <w:highlight w:val="yellow"/>
                    </w:rPr>
                  </w:pPr>
                  <w:r>
                    <w:rPr>
                      <w:rFonts w:hint="eastAsia"/>
                      <w:szCs w:val="21"/>
                    </w:rPr>
                    <w:t>1.0mg/m</w:t>
                  </w:r>
                  <w:r>
                    <w:rPr>
                      <w:rFonts w:hint="eastAsia"/>
                      <w:szCs w:val="21"/>
                      <w:vertAlign w:val="superscript"/>
                    </w:rPr>
                    <w:t>3</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115" w:hRule="atLeast"/>
                <w:jc w:val="center"/>
              </w:trPr>
              <w:tc>
                <w:tcPr>
                  <w:tcW w:w="438" w:type="dxa"/>
                  <w:vAlign w:val="center"/>
                </w:tcPr>
                <w:p>
                  <w:pPr>
                    <w:autoSpaceDE w:val="0"/>
                    <w:autoSpaceDN w:val="0"/>
                    <w:adjustRightInd w:val="0"/>
                    <w:jc w:val="center"/>
                    <w:rPr>
                      <w:kern w:val="0"/>
                      <w:sz w:val="22"/>
                      <w:szCs w:val="21"/>
                    </w:rPr>
                  </w:pPr>
                  <w:r>
                    <w:rPr>
                      <w:kern w:val="0"/>
                      <w:sz w:val="22"/>
                      <w:szCs w:val="21"/>
                    </w:rPr>
                    <w:t>噪声</w:t>
                  </w:r>
                </w:p>
              </w:tc>
              <w:tc>
                <w:tcPr>
                  <w:tcW w:w="1193" w:type="dxa"/>
                  <w:vAlign w:val="center"/>
                </w:tcPr>
                <w:p>
                  <w:pPr>
                    <w:autoSpaceDE w:val="0"/>
                    <w:autoSpaceDN w:val="0"/>
                    <w:adjustRightInd w:val="0"/>
                    <w:jc w:val="center"/>
                    <w:rPr>
                      <w:kern w:val="0"/>
                      <w:sz w:val="22"/>
                      <w:szCs w:val="21"/>
                    </w:rPr>
                  </w:pPr>
                  <w:r>
                    <w:rPr>
                      <w:kern w:val="0"/>
                      <w:sz w:val="22"/>
                      <w:szCs w:val="21"/>
                    </w:rPr>
                    <w:t>环境噪声</w:t>
                  </w:r>
                </w:p>
              </w:tc>
              <w:tc>
                <w:tcPr>
                  <w:tcW w:w="3855" w:type="dxa"/>
                  <w:vAlign w:val="center"/>
                </w:tcPr>
                <w:p>
                  <w:pPr>
                    <w:widowControl/>
                    <w:autoSpaceDE w:val="0"/>
                    <w:autoSpaceDN w:val="0"/>
                    <w:jc w:val="center"/>
                    <w:rPr>
                      <w:kern w:val="0"/>
                      <w:sz w:val="22"/>
                      <w:szCs w:val="21"/>
                    </w:rPr>
                  </w:pPr>
                  <w:r>
                    <w:rPr>
                      <w:kern w:val="0"/>
                      <w:sz w:val="22"/>
                      <w:szCs w:val="21"/>
                    </w:rPr>
                    <w:t>工业企业厂界环境噪声排放标准</w:t>
                  </w:r>
                </w:p>
                <w:p>
                  <w:pPr>
                    <w:widowControl/>
                    <w:autoSpaceDE w:val="0"/>
                    <w:autoSpaceDN w:val="0"/>
                    <w:jc w:val="center"/>
                    <w:rPr>
                      <w:kern w:val="0"/>
                      <w:sz w:val="22"/>
                      <w:szCs w:val="21"/>
                    </w:rPr>
                  </w:pPr>
                  <w:r>
                    <w:rPr>
                      <w:kern w:val="0"/>
                      <w:sz w:val="22"/>
                      <w:szCs w:val="21"/>
                    </w:rPr>
                    <w:t>GB 12348-2008</w:t>
                  </w:r>
                </w:p>
              </w:tc>
              <w:tc>
                <w:tcPr>
                  <w:tcW w:w="2208" w:type="dxa"/>
                  <w:vAlign w:val="center"/>
                </w:tcPr>
                <w:p>
                  <w:pPr>
                    <w:widowControl/>
                    <w:autoSpaceDE w:val="0"/>
                    <w:autoSpaceDN w:val="0"/>
                    <w:jc w:val="center"/>
                    <w:rPr>
                      <w:kern w:val="0"/>
                      <w:sz w:val="22"/>
                      <w:szCs w:val="21"/>
                    </w:rPr>
                  </w:pPr>
                  <w:r>
                    <w:rPr>
                      <w:kern w:val="0"/>
                      <w:sz w:val="22"/>
                      <w:szCs w:val="21"/>
                    </w:rPr>
                    <w:t>多功能声级仪</w:t>
                  </w:r>
                </w:p>
                <w:p>
                  <w:pPr>
                    <w:widowControl/>
                    <w:autoSpaceDE w:val="0"/>
                    <w:autoSpaceDN w:val="0"/>
                    <w:jc w:val="center"/>
                    <w:rPr>
                      <w:kern w:val="0"/>
                      <w:sz w:val="22"/>
                      <w:szCs w:val="21"/>
                    </w:rPr>
                  </w:pPr>
                  <w:r>
                    <w:rPr>
                      <w:kern w:val="0"/>
                      <w:sz w:val="22"/>
                      <w:szCs w:val="21"/>
                    </w:rPr>
                    <w:t>AWA5680</w:t>
                  </w:r>
                </w:p>
              </w:tc>
              <w:tc>
                <w:tcPr>
                  <w:tcW w:w="1188" w:type="dxa"/>
                  <w:vAlign w:val="center"/>
                </w:tcPr>
                <w:p>
                  <w:pPr>
                    <w:widowControl/>
                    <w:autoSpaceDE w:val="0"/>
                    <w:autoSpaceDN w:val="0"/>
                    <w:jc w:val="center"/>
                    <w:rPr>
                      <w:kern w:val="0"/>
                      <w:sz w:val="22"/>
                      <w:szCs w:val="21"/>
                    </w:rPr>
                  </w:pPr>
                  <w:r>
                    <w:rPr>
                      <w:color w:val="000000"/>
                      <w:kern w:val="0"/>
                      <w:sz w:val="22"/>
                      <w:szCs w:val="21"/>
                    </w:rPr>
                    <w:t>/</w:t>
                  </w:r>
                </w:p>
              </w:tc>
            </w:tr>
          </w:tbl>
          <w:p>
            <w:pPr>
              <w:snapToGrid w:val="0"/>
              <w:spacing w:line="276" w:lineRule="auto"/>
              <w:jc w:val="center"/>
              <w:rPr>
                <w:rFonts w:eastAsia="方正兰亭超细黑简体"/>
                <w:kern w:val="0"/>
                <w:sz w:val="28"/>
                <w:szCs w:val="22"/>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097" w:hRule="atLeast"/>
          <w:jc w:val="center"/>
        </w:trPr>
        <w:tc>
          <w:tcPr>
            <w:tcW w:w="9556" w:type="dxa"/>
            <w:gridSpan w:val="2"/>
          </w:tcPr>
          <w:p>
            <w:pPr>
              <w:autoSpaceDE w:val="0"/>
              <w:autoSpaceDN w:val="0"/>
              <w:spacing w:line="360" w:lineRule="auto"/>
              <w:jc w:val="left"/>
              <w:rPr>
                <w:b/>
                <w:kern w:val="0"/>
                <w:sz w:val="24"/>
                <w:szCs w:val="22"/>
              </w:rPr>
            </w:pPr>
            <w:r>
              <w:rPr>
                <w:b/>
                <w:kern w:val="0"/>
                <w:sz w:val="24"/>
                <w:szCs w:val="22"/>
              </w:rPr>
              <w:t>6、废水监测结果：</w:t>
            </w:r>
          </w:p>
          <w:p>
            <w:pPr>
              <w:autoSpaceDE w:val="0"/>
              <w:autoSpaceDN w:val="0"/>
              <w:spacing w:line="360" w:lineRule="auto"/>
              <w:jc w:val="right"/>
              <w:rPr>
                <w:b/>
                <w:kern w:val="0"/>
                <w:sz w:val="24"/>
                <w:szCs w:val="22"/>
              </w:rPr>
            </w:pPr>
            <w:r>
              <w:t>浓度单位：mg/L（注明除外）</w:t>
            </w:r>
          </w:p>
          <w:tbl>
            <w:tblPr>
              <w:tblStyle w:val="27"/>
              <w:tblW w:w="9133" w:type="dxa"/>
              <w:tblInd w:w="0" w:type="dxa"/>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8"/>
              <w:gridCol w:w="1111"/>
              <w:gridCol w:w="1161"/>
              <w:gridCol w:w="853"/>
              <w:gridCol w:w="992"/>
              <w:gridCol w:w="993"/>
              <w:gridCol w:w="931"/>
              <w:gridCol w:w="1065"/>
              <w:gridCol w:w="705"/>
              <w:gridCol w:w="674"/>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restart"/>
                  <w:vAlign w:val="center"/>
                </w:tcPr>
                <w:p>
                  <w:pPr>
                    <w:jc w:val="center"/>
                    <w:rPr>
                      <w:szCs w:val="21"/>
                    </w:rPr>
                  </w:pPr>
                  <w:r>
                    <w:rPr>
                      <w:szCs w:val="21"/>
                    </w:rPr>
                    <w:t>监测点位</w:t>
                  </w:r>
                </w:p>
              </w:tc>
              <w:tc>
                <w:tcPr>
                  <w:tcW w:w="1111" w:type="dxa"/>
                  <w:vMerge w:val="restart"/>
                  <w:vAlign w:val="center"/>
                </w:tcPr>
                <w:p>
                  <w:pPr>
                    <w:jc w:val="center"/>
                    <w:rPr>
                      <w:szCs w:val="21"/>
                    </w:rPr>
                  </w:pPr>
                  <w:r>
                    <w:rPr>
                      <w:szCs w:val="21"/>
                    </w:rPr>
                    <w:t>监测项目</w:t>
                  </w:r>
                </w:p>
              </w:tc>
              <w:tc>
                <w:tcPr>
                  <w:tcW w:w="1161" w:type="dxa"/>
                  <w:vMerge w:val="restart"/>
                  <w:vAlign w:val="center"/>
                </w:tcPr>
                <w:p>
                  <w:pPr>
                    <w:jc w:val="center"/>
                    <w:rPr>
                      <w:szCs w:val="21"/>
                    </w:rPr>
                  </w:pPr>
                  <w:r>
                    <w:rPr>
                      <w:szCs w:val="21"/>
                    </w:rPr>
                    <w:t>监测日期</w:t>
                  </w:r>
                </w:p>
              </w:tc>
              <w:tc>
                <w:tcPr>
                  <w:tcW w:w="4834" w:type="dxa"/>
                  <w:gridSpan w:val="5"/>
                  <w:vAlign w:val="center"/>
                </w:tcPr>
                <w:p>
                  <w:pPr>
                    <w:jc w:val="center"/>
                    <w:rPr>
                      <w:szCs w:val="21"/>
                    </w:rPr>
                  </w:pPr>
                  <w:r>
                    <w:rPr>
                      <w:szCs w:val="21"/>
                    </w:rPr>
                    <w:t>监测结果</w:t>
                  </w:r>
                </w:p>
              </w:tc>
              <w:tc>
                <w:tcPr>
                  <w:tcW w:w="705" w:type="dxa"/>
                  <w:vMerge w:val="restart"/>
                  <w:vAlign w:val="center"/>
                </w:tcPr>
                <w:p>
                  <w:pPr>
                    <w:jc w:val="center"/>
                    <w:rPr>
                      <w:szCs w:val="21"/>
                    </w:rPr>
                  </w:pPr>
                  <w:r>
                    <w:rPr>
                      <w:szCs w:val="21"/>
                    </w:rPr>
                    <w:t>标准限值</w:t>
                  </w:r>
                </w:p>
              </w:tc>
              <w:tc>
                <w:tcPr>
                  <w:tcW w:w="674" w:type="dxa"/>
                  <w:vMerge w:val="restart"/>
                  <w:vAlign w:val="center"/>
                </w:tcPr>
                <w:p>
                  <w:pPr>
                    <w:jc w:val="center"/>
                    <w:rPr>
                      <w:szCs w:val="21"/>
                    </w:rPr>
                  </w:pPr>
                  <w:r>
                    <w:rPr>
                      <w:szCs w:val="21"/>
                    </w:rPr>
                    <w:t>结果</w:t>
                  </w:r>
                </w:p>
                <w:p>
                  <w:pPr>
                    <w:jc w:val="center"/>
                    <w:rPr>
                      <w:szCs w:val="21"/>
                    </w:rPr>
                  </w:pPr>
                  <w:r>
                    <w:rPr>
                      <w:szCs w:val="21"/>
                    </w:rPr>
                    <w:t>评价</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continue"/>
                  <w:vAlign w:val="center"/>
                </w:tcPr>
                <w:p>
                  <w:pPr>
                    <w:jc w:val="center"/>
                    <w:rPr>
                      <w:szCs w:val="21"/>
                    </w:rPr>
                  </w:pPr>
                </w:p>
              </w:tc>
              <w:tc>
                <w:tcPr>
                  <w:tcW w:w="1161" w:type="dxa"/>
                  <w:vMerge w:val="continue"/>
                  <w:vAlign w:val="center"/>
                </w:tcPr>
                <w:p>
                  <w:pPr>
                    <w:jc w:val="center"/>
                    <w:rPr>
                      <w:szCs w:val="21"/>
                    </w:rPr>
                  </w:pPr>
                </w:p>
              </w:tc>
              <w:tc>
                <w:tcPr>
                  <w:tcW w:w="853" w:type="dxa"/>
                  <w:vAlign w:val="center"/>
                </w:tcPr>
                <w:p>
                  <w:pPr>
                    <w:jc w:val="center"/>
                    <w:rPr>
                      <w:szCs w:val="21"/>
                    </w:rPr>
                  </w:pPr>
                  <w:r>
                    <w:rPr>
                      <w:szCs w:val="21"/>
                    </w:rPr>
                    <w:t>第1次</w:t>
                  </w:r>
                </w:p>
              </w:tc>
              <w:tc>
                <w:tcPr>
                  <w:tcW w:w="992" w:type="dxa"/>
                  <w:vAlign w:val="center"/>
                </w:tcPr>
                <w:p>
                  <w:pPr>
                    <w:jc w:val="center"/>
                    <w:rPr>
                      <w:szCs w:val="21"/>
                    </w:rPr>
                  </w:pPr>
                  <w:r>
                    <w:rPr>
                      <w:szCs w:val="21"/>
                    </w:rPr>
                    <w:t>第2次</w:t>
                  </w:r>
                </w:p>
              </w:tc>
              <w:tc>
                <w:tcPr>
                  <w:tcW w:w="993" w:type="dxa"/>
                  <w:vAlign w:val="center"/>
                </w:tcPr>
                <w:p>
                  <w:pPr>
                    <w:jc w:val="center"/>
                    <w:rPr>
                      <w:szCs w:val="21"/>
                    </w:rPr>
                  </w:pPr>
                  <w:r>
                    <w:rPr>
                      <w:szCs w:val="21"/>
                    </w:rPr>
                    <w:t>第3次</w:t>
                  </w:r>
                </w:p>
              </w:tc>
              <w:tc>
                <w:tcPr>
                  <w:tcW w:w="931" w:type="dxa"/>
                  <w:vAlign w:val="center"/>
                </w:tcPr>
                <w:p>
                  <w:pPr>
                    <w:jc w:val="center"/>
                    <w:rPr>
                      <w:szCs w:val="21"/>
                    </w:rPr>
                  </w:pPr>
                  <w:r>
                    <w:rPr>
                      <w:szCs w:val="21"/>
                    </w:rPr>
                    <w:t>第4次</w:t>
                  </w:r>
                </w:p>
              </w:tc>
              <w:tc>
                <w:tcPr>
                  <w:tcW w:w="1065" w:type="dxa"/>
                  <w:vAlign w:val="center"/>
                </w:tcPr>
                <w:p>
                  <w:pPr>
                    <w:jc w:val="center"/>
                    <w:rPr>
                      <w:szCs w:val="21"/>
                    </w:rPr>
                  </w:pPr>
                  <w:r>
                    <w:rPr>
                      <w:szCs w:val="21"/>
                    </w:rPr>
                    <w:t>平均值</w:t>
                  </w:r>
                </w:p>
              </w:tc>
              <w:tc>
                <w:tcPr>
                  <w:tcW w:w="705" w:type="dxa"/>
                  <w:vMerge w:val="continue"/>
                  <w:vAlign w:val="center"/>
                </w:tcPr>
                <w:p>
                  <w:pPr>
                    <w:jc w:val="center"/>
                    <w:rPr>
                      <w:szCs w:val="21"/>
                    </w:rPr>
                  </w:pPr>
                </w:p>
              </w:tc>
              <w:tc>
                <w:tcPr>
                  <w:tcW w:w="674"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restart"/>
                  <w:vAlign w:val="center"/>
                </w:tcPr>
                <w:p>
                  <w:pPr>
                    <w:jc w:val="center"/>
                    <w:rPr>
                      <w:szCs w:val="21"/>
                    </w:rPr>
                  </w:pPr>
                  <w:r>
                    <w:rPr>
                      <w:szCs w:val="21"/>
                    </w:rPr>
                    <w:t>生活污水排放口</w:t>
                  </w:r>
                </w:p>
              </w:tc>
              <w:tc>
                <w:tcPr>
                  <w:tcW w:w="1111" w:type="dxa"/>
                  <w:vMerge w:val="restart"/>
                  <w:vAlign w:val="center"/>
                </w:tcPr>
                <w:p>
                  <w:pPr>
                    <w:jc w:val="center"/>
                    <w:rPr>
                      <w:szCs w:val="21"/>
                    </w:rPr>
                  </w:pPr>
                  <w:r>
                    <w:rPr>
                      <w:szCs w:val="21"/>
                    </w:rPr>
                    <w:t>pH值</w:t>
                  </w:r>
                </w:p>
                <w:p>
                  <w:pPr>
                    <w:jc w:val="center"/>
                    <w:rPr>
                      <w:szCs w:val="21"/>
                    </w:rPr>
                  </w:pPr>
                  <w:r>
                    <w:rPr>
                      <w:szCs w:val="21"/>
                    </w:rPr>
                    <w:t>(无量纲)</w:t>
                  </w:r>
                </w:p>
              </w:tc>
              <w:tc>
                <w:tcPr>
                  <w:tcW w:w="1161" w:type="dxa"/>
                  <w:vAlign w:val="center"/>
                </w:tcPr>
                <w:p>
                  <w:pPr>
                    <w:tabs>
                      <w:tab w:val="left" w:pos="7740"/>
                    </w:tabs>
                    <w:jc w:val="center"/>
                    <w:rPr>
                      <w:szCs w:val="21"/>
                    </w:rPr>
                  </w:pPr>
                  <w:r>
                    <w:rPr>
                      <w:szCs w:val="21"/>
                    </w:rPr>
                    <w:t>2017.0</w:t>
                  </w:r>
                  <w:r>
                    <w:rPr>
                      <w:rFonts w:hint="eastAsia"/>
                      <w:szCs w:val="21"/>
                    </w:rPr>
                    <w:t>4.24</w:t>
                  </w:r>
                </w:p>
              </w:tc>
              <w:tc>
                <w:tcPr>
                  <w:tcW w:w="853" w:type="dxa"/>
                  <w:vAlign w:val="center"/>
                </w:tcPr>
                <w:p>
                  <w:pPr>
                    <w:tabs>
                      <w:tab w:val="left" w:pos="7740"/>
                    </w:tabs>
                    <w:jc w:val="center"/>
                    <w:rPr>
                      <w:szCs w:val="21"/>
                    </w:rPr>
                  </w:pPr>
                  <w:r>
                    <w:rPr>
                      <w:rFonts w:hint="eastAsia"/>
                      <w:szCs w:val="21"/>
                    </w:rPr>
                    <w:t>6.37</w:t>
                  </w:r>
                </w:p>
              </w:tc>
              <w:tc>
                <w:tcPr>
                  <w:tcW w:w="992" w:type="dxa"/>
                  <w:vAlign w:val="center"/>
                </w:tcPr>
                <w:p>
                  <w:pPr>
                    <w:tabs>
                      <w:tab w:val="left" w:pos="7740"/>
                    </w:tabs>
                    <w:jc w:val="center"/>
                    <w:rPr>
                      <w:szCs w:val="21"/>
                    </w:rPr>
                  </w:pPr>
                  <w:r>
                    <w:rPr>
                      <w:rFonts w:hint="eastAsia"/>
                      <w:szCs w:val="21"/>
                    </w:rPr>
                    <w:t>6.36</w:t>
                  </w:r>
                </w:p>
              </w:tc>
              <w:tc>
                <w:tcPr>
                  <w:tcW w:w="993" w:type="dxa"/>
                  <w:vAlign w:val="center"/>
                </w:tcPr>
                <w:p>
                  <w:pPr>
                    <w:tabs>
                      <w:tab w:val="left" w:pos="7740"/>
                    </w:tabs>
                    <w:jc w:val="center"/>
                    <w:rPr>
                      <w:szCs w:val="21"/>
                    </w:rPr>
                  </w:pPr>
                  <w:r>
                    <w:rPr>
                      <w:rFonts w:hint="eastAsia"/>
                      <w:szCs w:val="21"/>
                    </w:rPr>
                    <w:t>6.32</w:t>
                  </w:r>
                </w:p>
              </w:tc>
              <w:tc>
                <w:tcPr>
                  <w:tcW w:w="931" w:type="dxa"/>
                  <w:vAlign w:val="center"/>
                </w:tcPr>
                <w:p>
                  <w:pPr>
                    <w:tabs>
                      <w:tab w:val="left" w:pos="7740"/>
                    </w:tabs>
                    <w:jc w:val="center"/>
                    <w:rPr>
                      <w:szCs w:val="21"/>
                    </w:rPr>
                  </w:pPr>
                  <w:r>
                    <w:rPr>
                      <w:rFonts w:hint="eastAsia"/>
                      <w:szCs w:val="21"/>
                    </w:rPr>
                    <w:t>6.36</w:t>
                  </w:r>
                </w:p>
              </w:tc>
              <w:tc>
                <w:tcPr>
                  <w:tcW w:w="1065" w:type="dxa"/>
                  <w:vAlign w:val="center"/>
                </w:tcPr>
                <w:p>
                  <w:pPr>
                    <w:tabs>
                      <w:tab w:val="left" w:pos="7740"/>
                    </w:tabs>
                    <w:jc w:val="center"/>
                    <w:rPr>
                      <w:szCs w:val="21"/>
                    </w:rPr>
                  </w:pPr>
                  <w:r>
                    <w:rPr>
                      <w:rFonts w:hint="eastAsia"/>
                      <w:szCs w:val="21"/>
                    </w:rPr>
                    <w:t>6.32-6.37</w:t>
                  </w:r>
                </w:p>
              </w:tc>
              <w:tc>
                <w:tcPr>
                  <w:tcW w:w="705" w:type="dxa"/>
                  <w:vMerge w:val="restart"/>
                  <w:vAlign w:val="center"/>
                </w:tcPr>
                <w:p>
                  <w:pPr>
                    <w:jc w:val="center"/>
                    <w:rPr>
                      <w:szCs w:val="21"/>
                    </w:rPr>
                  </w:pPr>
                  <w:r>
                    <w:rPr>
                      <w:szCs w:val="21"/>
                    </w:rPr>
                    <w:t>6~9</w:t>
                  </w:r>
                </w:p>
              </w:tc>
              <w:tc>
                <w:tcPr>
                  <w:tcW w:w="674" w:type="dxa"/>
                  <w:vMerge w:val="restart"/>
                  <w:vAlign w:val="center"/>
                </w:tcPr>
                <w:p>
                  <w:pPr>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continue"/>
                  <w:vAlign w:val="center"/>
                </w:tcPr>
                <w:p>
                  <w:pPr>
                    <w:jc w:val="center"/>
                    <w:rPr>
                      <w:szCs w:val="21"/>
                    </w:rPr>
                  </w:pPr>
                </w:p>
              </w:tc>
              <w:tc>
                <w:tcPr>
                  <w:tcW w:w="1161" w:type="dxa"/>
                  <w:vAlign w:val="center"/>
                </w:tcPr>
                <w:p>
                  <w:pPr>
                    <w:jc w:val="center"/>
                    <w:rPr>
                      <w:szCs w:val="21"/>
                    </w:rPr>
                  </w:pPr>
                  <w:r>
                    <w:rPr>
                      <w:szCs w:val="21"/>
                    </w:rPr>
                    <w:t>2017.0</w:t>
                  </w:r>
                  <w:r>
                    <w:rPr>
                      <w:rFonts w:hint="eastAsia"/>
                      <w:szCs w:val="21"/>
                    </w:rPr>
                    <w:t>4</w:t>
                  </w:r>
                  <w:r>
                    <w:rPr>
                      <w:szCs w:val="21"/>
                    </w:rPr>
                    <w:t>.</w:t>
                  </w:r>
                  <w:r>
                    <w:rPr>
                      <w:rFonts w:hint="eastAsia"/>
                      <w:szCs w:val="21"/>
                    </w:rPr>
                    <w:t>25</w:t>
                  </w:r>
                </w:p>
              </w:tc>
              <w:tc>
                <w:tcPr>
                  <w:tcW w:w="853" w:type="dxa"/>
                  <w:vAlign w:val="center"/>
                </w:tcPr>
                <w:p>
                  <w:pPr>
                    <w:tabs>
                      <w:tab w:val="left" w:pos="7740"/>
                    </w:tabs>
                    <w:jc w:val="center"/>
                    <w:rPr>
                      <w:szCs w:val="21"/>
                    </w:rPr>
                  </w:pPr>
                  <w:r>
                    <w:rPr>
                      <w:rFonts w:hint="eastAsia"/>
                      <w:szCs w:val="21"/>
                    </w:rPr>
                    <w:t>6.32</w:t>
                  </w:r>
                </w:p>
              </w:tc>
              <w:tc>
                <w:tcPr>
                  <w:tcW w:w="992" w:type="dxa"/>
                  <w:vAlign w:val="center"/>
                </w:tcPr>
                <w:p>
                  <w:pPr>
                    <w:tabs>
                      <w:tab w:val="left" w:pos="7740"/>
                    </w:tabs>
                    <w:jc w:val="center"/>
                    <w:rPr>
                      <w:szCs w:val="21"/>
                    </w:rPr>
                  </w:pPr>
                  <w:r>
                    <w:rPr>
                      <w:rFonts w:hint="eastAsia"/>
                      <w:szCs w:val="21"/>
                    </w:rPr>
                    <w:t>6.30</w:t>
                  </w:r>
                </w:p>
              </w:tc>
              <w:tc>
                <w:tcPr>
                  <w:tcW w:w="993" w:type="dxa"/>
                  <w:vAlign w:val="center"/>
                </w:tcPr>
                <w:p>
                  <w:pPr>
                    <w:tabs>
                      <w:tab w:val="left" w:pos="7740"/>
                    </w:tabs>
                    <w:jc w:val="center"/>
                    <w:rPr>
                      <w:szCs w:val="21"/>
                    </w:rPr>
                  </w:pPr>
                  <w:r>
                    <w:rPr>
                      <w:rFonts w:hint="eastAsia"/>
                      <w:szCs w:val="21"/>
                    </w:rPr>
                    <w:t>6.30</w:t>
                  </w:r>
                </w:p>
              </w:tc>
              <w:tc>
                <w:tcPr>
                  <w:tcW w:w="931" w:type="dxa"/>
                  <w:vAlign w:val="center"/>
                </w:tcPr>
                <w:p>
                  <w:pPr>
                    <w:tabs>
                      <w:tab w:val="left" w:pos="7740"/>
                    </w:tabs>
                    <w:jc w:val="center"/>
                    <w:rPr>
                      <w:szCs w:val="21"/>
                    </w:rPr>
                  </w:pPr>
                  <w:r>
                    <w:rPr>
                      <w:rFonts w:hint="eastAsia"/>
                      <w:szCs w:val="21"/>
                    </w:rPr>
                    <w:t>6.29</w:t>
                  </w:r>
                </w:p>
              </w:tc>
              <w:tc>
                <w:tcPr>
                  <w:tcW w:w="1065" w:type="dxa"/>
                  <w:vAlign w:val="center"/>
                </w:tcPr>
                <w:p>
                  <w:pPr>
                    <w:tabs>
                      <w:tab w:val="left" w:pos="7740"/>
                    </w:tabs>
                    <w:jc w:val="center"/>
                    <w:rPr>
                      <w:szCs w:val="21"/>
                    </w:rPr>
                  </w:pPr>
                  <w:r>
                    <w:rPr>
                      <w:rFonts w:hint="eastAsia"/>
                      <w:szCs w:val="21"/>
                    </w:rPr>
                    <w:t>6.29-6.32</w:t>
                  </w:r>
                </w:p>
              </w:tc>
              <w:tc>
                <w:tcPr>
                  <w:tcW w:w="705" w:type="dxa"/>
                  <w:vMerge w:val="continue"/>
                  <w:vAlign w:val="center"/>
                </w:tcPr>
                <w:p>
                  <w:pPr>
                    <w:jc w:val="center"/>
                    <w:rPr>
                      <w:szCs w:val="21"/>
                    </w:rPr>
                  </w:pPr>
                </w:p>
              </w:tc>
              <w:tc>
                <w:tcPr>
                  <w:tcW w:w="674"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restart"/>
                  <w:vAlign w:val="center"/>
                </w:tcPr>
                <w:p>
                  <w:pPr>
                    <w:jc w:val="center"/>
                    <w:rPr>
                      <w:szCs w:val="21"/>
                    </w:rPr>
                  </w:pPr>
                  <w:r>
                    <w:rPr>
                      <w:szCs w:val="21"/>
                    </w:rPr>
                    <w:t>悬浮物</w:t>
                  </w:r>
                </w:p>
              </w:tc>
              <w:tc>
                <w:tcPr>
                  <w:tcW w:w="1161" w:type="dxa"/>
                  <w:vAlign w:val="center"/>
                </w:tcPr>
                <w:p>
                  <w:pPr>
                    <w:tabs>
                      <w:tab w:val="left" w:pos="7740"/>
                    </w:tabs>
                    <w:jc w:val="center"/>
                    <w:rPr>
                      <w:szCs w:val="21"/>
                    </w:rPr>
                  </w:pPr>
                  <w:r>
                    <w:rPr>
                      <w:szCs w:val="21"/>
                    </w:rPr>
                    <w:t>2017.0</w:t>
                  </w:r>
                  <w:r>
                    <w:rPr>
                      <w:rFonts w:hint="eastAsia"/>
                      <w:szCs w:val="21"/>
                    </w:rPr>
                    <w:t>4.24</w:t>
                  </w:r>
                </w:p>
              </w:tc>
              <w:tc>
                <w:tcPr>
                  <w:tcW w:w="853" w:type="dxa"/>
                  <w:vAlign w:val="center"/>
                </w:tcPr>
                <w:p>
                  <w:pPr>
                    <w:tabs>
                      <w:tab w:val="left" w:pos="7740"/>
                    </w:tabs>
                    <w:jc w:val="center"/>
                    <w:rPr>
                      <w:szCs w:val="21"/>
                    </w:rPr>
                  </w:pPr>
                  <w:r>
                    <w:rPr>
                      <w:rFonts w:hint="eastAsia"/>
                      <w:szCs w:val="21"/>
                    </w:rPr>
                    <w:t>34</w:t>
                  </w:r>
                </w:p>
              </w:tc>
              <w:tc>
                <w:tcPr>
                  <w:tcW w:w="992" w:type="dxa"/>
                  <w:vAlign w:val="center"/>
                </w:tcPr>
                <w:p>
                  <w:pPr>
                    <w:tabs>
                      <w:tab w:val="left" w:pos="7740"/>
                    </w:tabs>
                    <w:jc w:val="center"/>
                    <w:rPr>
                      <w:szCs w:val="21"/>
                    </w:rPr>
                  </w:pPr>
                  <w:r>
                    <w:rPr>
                      <w:rFonts w:hint="eastAsia"/>
                      <w:szCs w:val="21"/>
                    </w:rPr>
                    <w:t>46</w:t>
                  </w:r>
                </w:p>
              </w:tc>
              <w:tc>
                <w:tcPr>
                  <w:tcW w:w="993" w:type="dxa"/>
                  <w:vAlign w:val="center"/>
                </w:tcPr>
                <w:p>
                  <w:pPr>
                    <w:tabs>
                      <w:tab w:val="left" w:pos="7740"/>
                    </w:tabs>
                    <w:jc w:val="center"/>
                    <w:rPr>
                      <w:szCs w:val="21"/>
                    </w:rPr>
                  </w:pPr>
                  <w:r>
                    <w:rPr>
                      <w:rFonts w:hint="eastAsia"/>
                      <w:szCs w:val="21"/>
                    </w:rPr>
                    <w:t>58</w:t>
                  </w:r>
                </w:p>
              </w:tc>
              <w:tc>
                <w:tcPr>
                  <w:tcW w:w="931" w:type="dxa"/>
                  <w:vAlign w:val="center"/>
                </w:tcPr>
                <w:p>
                  <w:pPr>
                    <w:tabs>
                      <w:tab w:val="left" w:pos="7740"/>
                    </w:tabs>
                    <w:jc w:val="center"/>
                    <w:rPr>
                      <w:szCs w:val="21"/>
                    </w:rPr>
                  </w:pPr>
                  <w:r>
                    <w:rPr>
                      <w:rFonts w:hint="eastAsia"/>
                      <w:szCs w:val="21"/>
                    </w:rPr>
                    <w:t>54</w:t>
                  </w:r>
                </w:p>
              </w:tc>
              <w:tc>
                <w:tcPr>
                  <w:tcW w:w="1065" w:type="dxa"/>
                  <w:vAlign w:val="center"/>
                </w:tcPr>
                <w:p>
                  <w:pPr>
                    <w:tabs>
                      <w:tab w:val="left" w:pos="7740"/>
                    </w:tabs>
                    <w:jc w:val="center"/>
                    <w:rPr>
                      <w:szCs w:val="21"/>
                    </w:rPr>
                  </w:pPr>
                  <w:r>
                    <w:rPr>
                      <w:rFonts w:hint="eastAsia"/>
                      <w:szCs w:val="21"/>
                    </w:rPr>
                    <w:t>48</w:t>
                  </w:r>
                </w:p>
              </w:tc>
              <w:tc>
                <w:tcPr>
                  <w:tcW w:w="705" w:type="dxa"/>
                  <w:vMerge w:val="restart"/>
                  <w:vAlign w:val="center"/>
                </w:tcPr>
                <w:p>
                  <w:pPr>
                    <w:jc w:val="center"/>
                    <w:rPr>
                      <w:szCs w:val="21"/>
                    </w:rPr>
                  </w:pPr>
                  <w:r>
                    <w:rPr>
                      <w:szCs w:val="21"/>
                    </w:rPr>
                    <w:t>400</w:t>
                  </w:r>
                </w:p>
              </w:tc>
              <w:tc>
                <w:tcPr>
                  <w:tcW w:w="674" w:type="dxa"/>
                  <w:vMerge w:val="restart"/>
                  <w:vAlign w:val="center"/>
                </w:tcPr>
                <w:p>
                  <w:pPr>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continue"/>
                  <w:vAlign w:val="center"/>
                </w:tcPr>
                <w:p>
                  <w:pPr>
                    <w:jc w:val="center"/>
                    <w:rPr>
                      <w:szCs w:val="21"/>
                    </w:rPr>
                  </w:pPr>
                </w:p>
              </w:tc>
              <w:tc>
                <w:tcPr>
                  <w:tcW w:w="1161" w:type="dxa"/>
                  <w:vAlign w:val="center"/>
                </w:tcPr>
                <w:p>
                  <w:pPr>
                    <w:jc w:val="center"/>
                    <w:rPr>
                      <w:szCs w:val="21"/>
                    </w:rPr>
                  </w:pPr>
                  <w:r>
                    <w:rPr>
                      <w:szCs w:val="21"/>
                    </w:rPr>
                    <w:t>2017.0</w:t>
                  </w:r>
                  <w:r>
                    <w:rPr>
                      <w:rFonts w:hint="eastAsia"/>
                      <w:szCs w:val="21"/>
                    </w:rPr>
                    <w:t>4</w:t>
                  </w:r>
                  <w:r>
                    <w:rPr>
                      <w:szCs w:val="21"/>
                    </w:rPr>
                    <w:t>.</w:t>
                  </w:r>
                  <w:r>
                    <w:rPr>
                      <w:rFonts w:hint="eastAsia"/>
                      <w:szCs w:val="21"/>
                    </w:rPr>
                    <w:t>25</w:t>
                  </w:r>
                </w:p>
              </w:tc>
              <w:tc>
                <w:tcPr>
                  <w:tcW w:w="853" w:type="dxa"/>
                  <w:vAlign w:val="center"/>
                </w:tcPr>
                <w:p>
                  <w:pPr>
                    <w:tabs>
                      <w:tab w:val="left" w:pos="7740"/>
                    </w:tabs>
                    <w:jc w:val="center"/>
                    <w:rPr>
                      <w:szCs w:val="21"/>
                    </w:rPr>
                  </w:pPr>
                  <w:r>
                    <w:rPr>
                      <w:rFonts w:hint="eastAsia"/>
                      <w:szCs w:val="21"/>
                    </w:rPr>
                    <w:t>54</w:t>
                  </w:r>
                </w:p>
              </w:tc>
              <w:tc>
                <w:tcPr>
                  <w:tcW w:w="992" w:type="dxa"/>
                  <w:vAlign w:val="center"/>
                </w:tcPr>
                <w:p>
                  <w:pPr>
                    <w:tabs>
                      <w:tab w:val="left" w:pos="7740"/>
                    </w:tabs>
                    <w:jc w:val="center"/>
                    <w:rPr>
                      <w:szCs w:val="21"/>
                    </w:rPr>
                  </w:pPr>
                  <w:r>
                    <w:rPr>
                      <w:rFonts w:hint="eastAsia"/>
                      <w:szCs w:val="21"/>
                    </w:rPr>
                    <w:t>52</w:t>
                  </w:r>
                </w:p>
              </w:tc>
              <w:tc>
                <w:tcPr>
                  <w:tcW w:w="993" w:type="dxa"/>
                  <w:vAlign w:val="center"/>
                </w:tcPr>
                <w:p>
                  <w:pPr>
                    <w:tabs>
                      <w:tab w:val="left" w:pos="7740"/>
                    </w:tabs>
                    <w:jc w:val="center"/>
                    <w:rPr>
                      <w:szCs w:val="21"/>
                    </w:rPr>
                  </w:pPr>
                  <w:r>
                    <w:rPr>
                      <w:rFonts w:hint="eastAsia"/>
                      <w:szCs w:val="21"/>
                    </w:rPr>
                    <w:t>58</w:t>
                  </w:r>
                </w:p>
              </w:tc>
              <w:tc>
                <w:tcPr>
                  <w:tcW w:w="931" w:type="dxa"/>
                  <w:vAlign w:val="center"/>
                </w:tcPr>
                <w:p>
                  <w:pPr>
                    <w:tabs>
                      <w:tab w:val="left" w:pos="7740"/>
                    </w:tabs>
                    <w:jc w:val="center"/>
                    <w:rPr>
                      <w:szCs w:val="21"/>
                    </w:rPr>
                  </w:pPr>
                  <w:r>
                    <w:rPr>
                      <w:rFonts w:hint="eastAsia"/>
                      <w:szCs w:val="21"/>
                    </w:rPr>
                    <w:t>56</w:t>
                  </w:r>
                </w:p>
              </w:tc>
              <w:tc>
                <w:tcPr>
                  <w:tcW w:w="1065" w:type="dxa"/>
                  <w:vAlign w:val="center"/>
                </w:tcPr>
                <w:p>
                  <w:pPr>
                    <w:tabs>
                      <w:tab w:val="left" w:pos="7740"/>
                    </w:tabs>
                    <w:jc w:val="center"/>
                    <w:rPr>
                      <w:szCs w:val="21"/>
                    </w:rPr>
                  </w:pPr>
                  <w:r>
                    <w:rPr>
                      <w:rFonts w:hint="eastAsia"/>
                      <w:szCs w:val="21"/>
                    </w:rPr>
                    <w:t>55</w:t>
                  </w:r>
                </w:p>
              </w:tc>
              <w:tc>
                <w:tcPr>
                  <w:tcW w:w="705" w:type="dxa"/>
                  <w:vMerge w:val="continue"/>
                  <w:vAlign w:val="center"/>
                </w:tcPr>
                <w:p>
                  <w:pPr>
                    <w:jc w:val="center"/>
                    <w:rPr>
                      <w:szCs w:val="21"/>
                    </w:rPr>
                  </w:pPr>
                </w:p>
              </w:tc>
              <w:tc>
                <w:tcPr>
                  <w:tcW w:w="674"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restart"/>
                  <w:vAlign w:val="center"/>
                </w:tcPr>
                <w:p>
                  <w:pPr>
                    <w:jc w:val="center"/>
                    <w:rPr>
                      <w:szCs w:val="21"/>
                    </w:rPr>
                  </w:pPr>
                  <w:r>
                    <w:rPr>
                      <w:szCs w:val="21"/>
                    </w:rPr>
                    <w:t>化学</w:t>
                  </w:r>
                </w:p>
                <w:p>
                  <w:pPr>
                    <w:snapToGrid w:val="0"/>
                    <w:jc w:val="center"/>
                    <w:rPr>
                      <w:szCs w:val="21"/>
                    </w:rPr>
                  </w:pPr>
                  <w:r>
                    <w:rPr>
                      <w:szCs w:val="21"/>
                    </w:rPr>
                    <w:t>需氧量</w:t>
                  </w:r>
                </w:p>
              </w:tc>
              <w:tc>
                <w:tcPr>
                  <w:tcW w:w="1161" w:type="dxa"/>
                  <w:vAlign w:val="center"/>
                </w:tcPr>
                <w:p>
                  <w:pPr>
                    <w:tabs>
                      <w:tab w:val="left" w:pos="7740"/>
                    </w:tabs>
                    <w:jc w:val="center"/>
                    <w:rPr>
                      <w:szCs w:val="21"/>
                    </w:rPr>
                  </w:pPr>
                  <w:r>
                    <w:rPr>
                      <w:szCs w:val="21"/>
                    </w:rPr>
                    <w:t>2017.0</w:t>
                  </w:r>
                  <w:r>
                    <w:rPr>
                      <w:rFonts w:hint="eastAsia"/>
                      <w:szCs w:val="21"/>
                    </w:rPr>
                    <w:t>4.24</w:t>
                  </w:r>
                </w:p>
              </w:tc>
              <w:tc>
                <w:tcPr>
                  <w:tcW w:w="853" w:type="dxa"/>
                  <w:vAlign w:val="center"/>
                </w:tcPr>
                <w:p>
                  <w:pPr>
                    <w:tabs>
                      <w:tab w:val="left" w:pos="7740"/>
                    </w:tabs>
                    <w:jc w:val="center"/>
                    <w:rPr>
                      <w:szCs w:val="21"/>
                    </w:rPr>
                  </w:pPr>
                  <w:r>
                    <w:rPr>
                      <w:rFonts w:hint="eastAsia"/>
                      <w:szCs w:val="21"/>
                    </w:rPr>
                    <w:t>178</w:t>
                  </w:r>
                </w:p>
              </w:tc>
              <w:tc>
                <w:tcPr>
                  <w:tcW w:w="992" w:type="dxa"/>
                  <w:vAlign w:val="center"/>
                </w:tcPr>
                <w:p>
                  <w:pPr>
                    <w:tabs>
                      <w:tab w:val="left" w:pos="7740"/>
                    </w:tabs>
                    <w:jc w:val="center"/>
                    <w:rPr>
                      <w:szCs w:val="21"/>
                    </w:rPr>
                  </w:pPr>
                  <w:r>
                    <w:rPr>
                      <w:rFonts w:hint="eastAsia"/>
                      <w:szCs w:val="21"/>
                    </w:rPr>
                    <w:t>122</w:t>
                  </w:r>
                </w:p>
              </w:tc>
              <w:tc>
                <w:tcPr>
                  <w:tcW w:w="993" w:type="dxa"/>
                  <w:vAlign w:val="center"/>
                </w:tcPr>
                <w:p>
                  <w:pPr>
                    <w:tabs>
                      <w:tab w:val="left" w:pos="7740"/>
                    </w:tabs>
                    <w:jc w:val="center"/>
                    <w:rPr>
                      <w:szCs w:val="21"/>
                    </w:rPr>
                  </w:pPr>
                  <w:r>
                    <w:rPr>
                      <w:rFonts w:hint="eastAsia"/>
                      <w:szCs w:val="21"/>
                    </w:rPr>
                    <w:t>129</w:t>
                  </w:r>
                </w:p>
              </w:tc>
              <w:tc>
                <w:tcPr>
                  <w:tcW w:w="931" w:type="dxa"/>
                  <w:vAlign w:val="center"/>
                </w:tcPr>
                <w:p>
                  <w:pPr>
                    <w:tabs>
                      <w:tab w:val="left" w:pos="7740"/>
                    </w:tabs>
                    <w:jc w:val="center"/>
                    <w:rPr>
                      <w:szCs w:val="21"/>
                    </w:rPr>
                  </w:pPr>
                  <w:r>
                    <w:rPr>
                      <w:rFonts w:hint="eastAsia"/>
                      <w:szCs w:val="21"/>
                    </w:rPr>
                    <w:t>128</w:t>
                  </w:r>
                </w:p>
              </w:tc>
              <w:tc>
                <w:tcPr>
                  <w:tcW w:w="1065" w:type="dxa"/>
                  <w:vAlign w:val="center"/>
                </w:tcPr>
                <w:p>
                  <w:pPr>
                    <w:tabs>
                      <w:tab w:val="left" w:pos="7740"/>
                    </w:tabs>
                    <w:jc w:val="center"/>
                    <w:rPr>
                      <w:szCs w:val="21"/>
                    </w:rPr>
                  </w:pPr>
                  <w:r>
                    <w:rPr>
                      <w:rFonts w:hint="eastAsia"/>
                      <w:szCs w:val="21"/>
                    </w:rPr>
                    <w:t>139</w:t>
                  </w:r>
                </w:p>
              </w:tc>
              <w:tc>
                <w:tcPr>
                  <w:tcW w:w="705" w:type="dxa"/>
                  <w:vMerge w:val="restart"/>
                  <w:vAlign w:val="center"/>
                </w:tcPr>
                <w:p>
                  <w:pPr>
                    <w:jc w:val="center"/>
                    <w:rPr>
                      <w:szCs w:val="21"/>
                    </w:rPr>
                  </w:pPr>
                  <w:r>
                    <w:rPr>
                      <w:szCs w:val="21"/>
                    </w:rPr>
                    <w:t>500</w:t>
                  </w:r>
                </w:p>
              </w:tc>
              <w:tc>
                <w:tcPr>
                  <w:tcW w:w="674" w:type="dxa"/>
                  <w:vMerge w:val="restart"/>
                  <w:vAlign w:val="center"/>
                </w:tcPr>
                <w:p>
                  <w:pPr>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continue"/>
                  <w:vAlign w:val="center"/>
                </w:tcPr>
                <w:p>
                  <w:pPr>
                    <w:jc w:val="center"/>
                    <w:rPr>
                      <w:szCs w:val="21"/>
                    </w:rPr>
                  </w:pPr>
                </w:p>
              </w:tc>
              <w:tc>
                <w:tcPr>
                  <w:tcW w:w="1161" w:type="dxa"/>
                  <w:vAlign w:val="center"/>
                </w:tcPr>
                <w:p>
                  <w:pPr>
                    <w:jc w:val="center"/>
                    <w:rPr>
                      <w:szCs w:val="21"/>
                    </w:rPr>
                  </w:pPr>
                  <w:r>
                    <w:rPr>
                      <w:szCs w:val="21"/>
                    </w:rPr>
                    <w:t>2017.0</w:t>
                  </w:r>
                  <w:r>
                    <w:rPr>
                      <w:rFonts w:hint="eastAsia"/>
                      <w:szCs w:val="21"/>
                    </w:rPr>
                    <w:t>4</w:t>
                  </w:r>
                  <w:r>
                    <w:rPr>
                      <w:szCs w:val="21"/>
                    </w:rPr>
                    <w:t>.</w:t>
                  </w:r>
                  <w:r>
                    <w:rPr>
                      <w:rFonts w:hint="eastAsia"/>
                      <w:szCs w:val="21"/>
                    </w:rPr>
                    <w:t>25</w:t>
                  </w:r>
                </w:p>
              </w:tc>
              <w:tc>
                <w:tcPr>
                  <w:tcW w:w="853" w:type="dxa"/>
                  <w:vAlign w:val="center"/>
                </w:tcPr>
                <w:p>
                  <w:pPr>
                    <w:tabs>
                      <w:tab w:val="left" w:pos="7740"/>
                    </w:tabs>
                    <w:jc w:val="center"/>
                    <w:rPr>
                      <w:szCs w:val="21"/>
                    </w:rPr>
                  </w:pPr>
                  <w:r>
                    <w:rPr>
                      <w:rFonts w:hint="eastAsia"/>
                      <w:szCs w:val="21"/>
                    </w:rPr>
                    <w:t>141</w:t>
                  </w:r>
                </w:p>
              </w:tc>
              <w:tc>
                <w:tcPr>
                  <w:tcW w:w="992" w:type="dxa"/>
                  <w:vAlign w:val="center"/>
                </w:tcPr>
                <w:p>
                  <w:pPr>
                    <w:tabs>
                      <w:tab w:val="left" w:pos="7740"/>
                    </w:tabs>
                    <w:jc w:val="center"/>
                    <w:rPr>
                      <w:szCs w:val="21"/>
                    </w:rPr>
                  </w:pPr>
                  <w:r>
                    <w:rPr>
                      <w:rFonts w:hint="eastAsia"/>
                      <w:szCs w:val="21"/>
                    </w:rPr>
                    <w:t>90.3</w:t>
                  </w:r>
                </w:p>
              </w:tc>
              <w:tc>
                <w:tcPr>
                  <w:tcW w:w="993" w:type="dxa"/>
                  <w:vAlign w:val="center"/>
                </w:tcPr>
                <w:p>
                  <w:pPr>
                    <w:tabs>
                      <w:tab w:val="left" w:pos="7740"/>
                    </w:tabs>
                    <w:jc w:val="center"/>
                    <w:rPr>
                      <w:szCs w:val="21"/>
                    </w:rPr>
                  </w:pPr>
                  <w:r>
                    <w:rPr>
                      <w:rFonts w:hint="eastAsia"/>
                      <w:szCs w:val="21"/>
                    </w:rPr>
                    <w:t>142</w:t>
                  </w:r>
                </w:p>
              </w:tc>
              <w:tc>
                <w:tcPr>
                  <w:tcW w:w="931" w:type="dxa"/>
                  <w:vAlign w:val="center"/>
                </w:tcPr>
                <w:p>
                  <w:pPr>
                    <w:tabs>
                      <w:tab w:val="left" w:pos="7740"/>
                    </w:tabs>
                    <w:jc w:val="center"/>
                    <w:rPr>
                      <w:szCs w:val="21"/>
                    </w:rPr>
                  </w:pPr>
                  <w:r>
                    <w:rPr>
                      <w:rFonts w:hint="eastAsia"/>
                      <w:szCs w:val="21"/>
                    </w:rPr>
                    <w:t>162</w:t>
                  </w:r>
                </w:p>
              </w:tc>
              <w:tc>
                <w:tcPr>
                  <w:tcW w:w="1065" w:type="dxa"/>
                  <w:vAlign w:val="center"/>
                </w:tcPr>
                <w:p>
                  <w:pPr>
                    <w:tabs>
                      <w:tab w:val="left" w:pos="7740"/>
                    </w:tabs>
                    <w:jc w:val="center"/>
                    <w:rPr>
                      <w:szCs w:val="21"/>
                    </w:rPr>
                  </w:pPr>
                  <w:r>
                    <w:rPr>
                      <w:rFonts w:hint="eastAsia"/>
                      <w:szCs w:val="21"/>
                    </w:rPr>
                    <w:t>133</w:t>
                  </w:r>
                </w:p>
              </w:tc>
              <w:tc>
                <w:tcPr>
                  <w:tcW w:w="705" w:type="dxa"/>
                  <w:vMerge w:val="continue"/>
                  <w:vAlign w:val="center"/>
                </w:tcPr>
                <w:p>
                  <w:pPr>
                    <w:jc w:val="center"/>
                    <w:rPr>
                      <w:szCs w:val="21"/>
                    </w:rPr>
                  </w:pPr>
                </w:p>
              </w:tc>
              <w:tc>
                <w:tcPr>
                  <w:tcW w:w="674"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restart"/>
                  <w:vAlign w:val="center"/>
                </w:tcPr>
                <w:p>
                  <w:pPr>
                    <w:jc w:val="center"/>
                    <w:rPr>
                      <w:szCs w:val="21"/>
                    </w:rPr>
                  </w:pPr>
                  <w:r>
                    <w:rPr>
                      <w:szCs w:val="21"/>
                    </w:rPr>
                    <w:t>氨氮</w:t>
                  </w:r>
                </w:p>
              </w:tc>
              <w:tc>
                <w:tcPr>
                  <w:tcW w:w="1161" w:type="dxa"/>
                  <w:vAlign w:val="center"/>
                </w:tcPr>
                <w:p>
                  <w:pPr>
                    <w:tabs>
                      <w:tab w:val="left" w:pos="7740"/>
                    </w:tabs>
                    <w:jc w:val="center"/>
                    <w:rPr>
                      <w:szCs w:val="21"/>
                    </w:rPr>
                  </w:pPr>
                  <w:r>
                    <w:rPr>
                      <w:szCs w:val="21"/>
                    </w:rPr>
                    <w:t>2017.0</w:t>
                  </w:r>
                  <w:r>
                    <w:rPr>
                      <w:rFonts w:hint="eastAsia"/>
                      <w:szCs w:val="21"/>
                    </w:rPr>
                    <w:t>4.24</w:t>
                  </w:r>
                </w:p>
              </w:tc>
              <w:tc>
                <w:tcPr>
                  <w:tcW w:w="853" w:type="dxa"/>
                  <w:vAlign w:val="center"/>
                </w:tcPr>
                <w:p>
                  <w:pPr>
                    <w:tabs>
                      <w:tab w:val="left" w:pos="7740"/>
                    </w:tabs>
                    <w:jc w:val="center"/>
                    <w:rPr>
                      <w:szCs w:val="21"/>
                    </w:rPr>
                  </w:pPr>
                  <w:r>
                    <w:rPr>
                      <w:rFonts w:hint="eastAsia"/>
                      <w:szCs w:val="21"/>
                    </w:rPr>
                    <w:t>18.7</w:t>
                  </w:r>
                </w:p>
              </w:tc>
              <w:tc>
                <w:tcPr>
                  <w:tcW w:w="992" w:type="dxa"/>
                  <w:vAlign w:val="center"/>
                </w:tcPr>
                <w:p>
                  <w:pPr>
                    <w:tabs>
                      <w:tab w:val="left" w:pos="7740"/>
                    </w:tabs>
                    <w:jc w:val="center"/>
                    <w:rPr>
                      <w:szCs w:val="21"/>
                    </w:rPr>
                  </w:pPr>
                  <w:r>
                    <w:rPr>
                      <w:rFonts w:hint="eastAsia"/>
                      <w:szCs w:val="21"/>
                    </w:rPr>
                    <w:t>19.9</w:t>
                  </w:r>
                </w:p>
              </w:tc>
              <w:tc>
                <w:tcPr>
                  <w:tcW w:w="993" w:type="dxa"/>
                  <w:vAlign w:val="center"/>
                </w:tcPr>
                <w:p>
                  <w:pPr>
                    <w:tabs>
                      <w:tab w:val="left" w:pos="7740"/>
                    </w:tabs>
                    <w:jc w:val="center"/>
                    <w:rPr>
                      <w:szCs w:val="21"/>
                    </w:rPr>
                  </w:pPr>
                  <w:r>
                    <w:rPr>
                      <w:rFonts w:hint="eastAsia"/>
                      <w:szCs w:val="21"/>
                    </w:rPr>
                    <w:t>21.6</w:t>
                  </w:r>
                </w:p>
              </w:tc>
              <w:tc>
                <w:tcPr>
                  <w:tcW w:w="931" w:type="dxa"/>
                  <w:vAlign w:val="center"/>
                </w:tcPr>
                <w:p>
                  <w:pPr>
                    <w:tabs>
                      <w:tab w:val="left" w:pos="7740"/>
                    </w:tabs>
                    <w:jc w:val="center"/>
                    <w:rPr>
                      <w:szCs w:val="21"/>
                    </w:rPr>
                  </w:pPr>
                  <w:r>
                    <w:rPr>
                      <w:rFonts w:hint="eastAsia"/>
                      <w:szCs w:val="21"/>
                    </w:rPr>
                    <w:t>19.7</w:t>
                  </w:r>
                </w:p>
              </w:tc>
              <w:tc>
                <w:tcPr>
                  <w:tcW w:w="1065" w:type="dxa"/>
                  <w:vAlign w:val="center"/>
                </w:tcPr>
                <w:p>
                  <w:pPr>
                    <w:tabs>
                      <w:tab w:val="left" w:pos="7740"/>
                    </w:tabs>
                    <w:jc w:val="center"/>
                    <w:rPr>
                      <w:szCs w:val="21"/>
                    </w:rPr>
                  </w:pPr>
                  <w:r>
                    <w:rPr>
                      <w:rFonts w:hint="eastAsia"/>
                      <w:szCs w:val="21"/>
                    </w:rPr>
                    <w:t>19.9</w:t>
                  </w:r>
                </w:p>
              </w:tc>
              <w:tc>
                <w:tcPr>
                  <w:tcW w:w="705" w:type="dxa"/>
                  <w:vMerge w:val="restart"/>
                  <w:vAlign w:val="center"/>
                </w:tcPr>
                <w:p>
                  <w:pPr>
                    <w:jc w:val="center"/>
                    <w:rPr>
                      <w:szCs w:val="21"/>
                    </w:rPr>
                  </w:pPr>
                  <w:r>
                    <w:rPr>
                      <w:szCs w:val="21"/>
                    </w:rPr>
                    <w:t>/</w:t>
                  </w:r>
                </w:p>
              </w:tc>
              <w:tc>
                <w:tcPr>
                  <w:tcW w:w="674" w:type="dxa"/>
                  <w:vMerge w:val="restart"/>
                  <w:vAlign w:val="center"/>
                </w:tcPr>
                <w:p>
                  <w:pPr>
                    <w:jc w:val="center"/>
                    <w:rPr>
                      <w:szCs w:val="21"/>
                    </w:rPr>
                  </w:pPr>
                  <w:r>
                    <w:rPr>
                      <w:szCs w:val="21"/>
                    </w:rPr>
                    <w:t>/</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continue"/>
                  <w:vAlign w:val="center"/>
                </w:tcPr>
                <w:p>
                  <w:pPr>
                    <w:jc w:val="center"/>
                    <w:rPr>
                      <w:szCs w:val="21"/>
                    </w:rPr>
                  </w:pPr>
                </w:p>
              </w:tc>
              <w:tc>
                <w:tcPr>
                  <w:tcW w:w="1161" w:type="dxa"/>
                  <w:vAlign w:val="center"/>
                </w:tcPr>
                <w:p>
                  <w:pPr>
                    <w:jc w:val="center"/>
                    <w:rPr>
                      <w:szCs w:val="21"/>
                    </w:rPr>
                  </w:pPr>
                  <w:r>
                    <w:rPr>
                      <w:szCs w:val="21"/>
                    </w:rPr>
                    <w:t>2017.0</w:t>
                  </w:r>
                  <w:r>
                    <w:rPr>
                      <w:rFonts w:hint="eastAsia"/>
                      <w:szCs w:val="21"/>
                    </w:rPr>
                    <w:t>4</w:t>
                  </w:r>
                  <w:r>
                    <w:rPr>
                      <w:szCs w:val="21"/>
                    </w:rPr>
                    <w:t>.</w:t>
                  </w:r>
                  <w:r>
                    <w:rPr>
                      <w:rFonts w:hint="eastAsia"/>
                      <w:szCs w:val="21"/>
                    </w:rPr>
                    <w:t>25</w:t>
                  </w:r>
                </w:p>
              </w:tc>
              <w:tc>
                <w:tcPr>
                  <w:tcW w:w="853" w:type="dxa"/>
                  <w:vAlign w:val="center"/>
                </w:tcPr>
                <w:p>
                  <w:pPr>
                    <w:tabs>
                      <w:tab w:val="left" w:pos="7740"/>
                    </w:tabs>
                    <w:jc w:val="center"/>
                    <w:rPr>
                      <w:szCs w:val="21"/>
                    </w:rPr>
                  </w:pPr>
                  <w:r>
                    <w:rPr>
                      <w:rFonts w:hint="eastAsia"/>
                      <w:szCs w:val="21"/>
                    </w:rPr>
                    <w:t>21.1</w:t>
                  </w:r>
                </w:p>
              </w:tc>
              <w:tc>
                <w:tcPr>
                  <w:tcW w:w="992" w:type="dxa"/>
                  <w:vAlign w:val="center"/>
                </w:tcPr>
                <w:p>
                  <w:pPr>
                    <w:tabs>
                      <w:tab w:val="left" w:pos="7740"/>
                    </w:tabs>
                    <w:jc w:val="center"/>
                    <w:rPr>
                      <w:szCs w:val="21"/>
                    </w:rPr>
                  </w:pPr>
                  <w:r>
                    <w:rPr>
                      <w:rFonts w:hint="eastAsia"/>
                      <w:szCs w:val="21"/>
                    </w:rPr>
                    <w:t>20.7</w:t>
                  </w:r>
                </w:p>
              </w:tc>
              <w:tc>
                <w:tcPr>
                  <w:tcW w:w="993" w:type="dxa"/>
                  <w:vAlign w:val="center"/>
                </w:tcPr>
                <w:p>
                  <w:pPr>
                    <w:tabs>
                      <w:tab w:val="left" w:pos="7740"/>
                    </w:tabs>
                    <w:jc w:val="center"/>
                    <w:rPr>
                      <w:szCs w:val="21"/>
                    </w:rPr>
                  </w:pPr>
                  <w:r>
                    <w:rPr>
                      <w:rFonts w:hint="eastAsia"/>
                      <w:szCs w:val="21"/>
                    </w:rPr>
                    <w:t>21.5</w:t>
                  </w:r>
                </w:p>
              </w:tc>
              <w:tc>
                <w:tcPr>
                  <w:tcW w:w="931" w:type="dxa"/>
                  <w:vAlign w:val="center"/>
                </w:tcPr>
                <w:p>
                  <w:pPr>
                    <w:tabs>
                      <w:tab w:val="left" w:pos="7740"/>
                    </w:tabs>
                    <w:jc w:val="center"/>
                    <w:rPr>
                      <w:szCs w:val="21"/>
                    </w:rPr>
                  </w:pPr>
                  <w:r>
                    <w:rPr>
                      <w:rFonts w:hint="eastAsia"/>
                      <w:szCs w:val="21"/>
                    </w:rPr>
                    <w:t>26.2</w:t>
                  </w:r>
                </w:p>
              </w:tc>
              <w:tc>
                <w:tcPr>
                  <w:tcW w:w="1065" w:type="dxa"/>
                  <w:vAlign w:val="center"/>
                </w:tcPr>
                <w:p>
                  <w:pPr>
                    <w:tabs>
                      <w:tab w:val="left" w:pos="7740"/>
                    </w:tabs>
                    <w:jc w:val="center"/>
                    <w:rPr>
                      <w:szCs w:val="21"/>
                    </w:rPr>
                  </w:pPr>
                  <w:r>
                    <w:rPr>
                      <w:rFonts w:hint="eastAsia"/>
                      <w:szCs w:val="21"/>
                    </w:rPr>
                    <w:t>22.4</w:t>
                  </w:r>
                </w:p>
              </w:tc>
              <w:tc>
                <w:tcPr>
                  <w:tcW w:w="705" w:type="dxa"/>
                  <w:vMerge w:val="continue"/>
                  <w:vAlign w:val="center"/>
                </w:tcPr>
                <w:p>
                  <w:pPr>
                    <w:jc w:val="center"/>
                    <w:rPr>
                      <w:szCs w:val="21"/>
                    </w:rPr>
                  </w:pPr>
                </w:p>
              </w:tc>
              <w:tc>
                <w:tcPr>
                  <w:tcW w:w="674" w:type="dxa"/>
                  <w:vMerge w:val="continue"/>
                  <w:vAlign w:val="center"/>
                </w:tcPr>
                <w:p>
                  <w:pPr>
                    <w:jc w:val="center"/>
                    <w:rPr>
                      <w:szCs w:val="21"/>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restart"/>
                  <w:vAlign w:val="center"/>
                </w:tcPr>
                <w:p>
                  <w:pPr>
                    <w:jc w:val="center"/>
                    <w:rPr>
                      <w:szCs w:val="21"/>
                    </w:rPr>
                  </w:pPr>
                  <w:r>
                    <w:rPr>
                      <w:szCs w:val="21"/>
                    </w:rPr>
                    <w:t>LAS</w:t>
                  </w:r>
                </w:p>
              </w:tc>
              <w:tc>
                <w:tcPr>
                  <w:tcW w:w="1161" w:type="dxa"/>
                  <w:vAlign w:val="center"/>
                </w:tcPr>
                <w:p>
                  <w:pPr>
                    <w:tabs>
                      <w:tab w:val="left" w:pos="7740"/>
                    </w:tabs>
                    <w:jc w:val="center"/>
                    <w:rPr>
                      <w:szCs w:val="21"/>
                    </w:rPr>
                  </w:pPr>
                  <w:r>
                    <w:rPr>
                      <w:szCs w:val="21"/>
                    </w:rPr>
                    <w:t>2017.0</w:t>
                  </w:r>
                  <w:r>
                    <w:rPr>
                      <w:rFonts w:hint="eastAsia"/>
                      <w:szCs w:val="21"/>
                    </w:rPr>
                    <w:t>4.24</w:t>
                  </w:r>
                </w:p>
              </w:tc>
              <w:tc>
                <w:tcPr>
                  <w:tcW w:w="853" w:type="dxa"/>
                  <w:vAlign w:val="center"/>
                </w:tcPr>
                <w:p>
                  <w:pPr>
                    <w:tabs>
                      <w:tab w:val="left" w:pos="7740"/>
                    </w:tabs>
                    <w:jc w:val="center"/>
                    <w:rPr>
                      <w:szCs w:val="21"/>
                    </w:rPr>
                  </w:pPr>
                  <w:r>
                    <w:rPr>
                      <w:rFonts w:hint="eastAsia"/>
                      <w:szCs w:val="21"/>
                    </w:rPr>
                    <w:t>2.27</w:t>
                  </w:r>
                </w:p>
              </w:tc>
              <w:tc>
                <w:tcPr>
                  <w:tcW w:w="992" w:type="dxa"/>
                  <w:vAlign w:val="center"/>
                </w:tcPr>
                <w:p>
                  <w:pPr>
                    <w:tabs>
                      <w:tab w:val="left" w:pos="7740"/>
                    </w:tabs>
                    <w:jc w:val="center"/>
                    <w:rPr>
                      <w:szCs w:val="21"/>
                    </w:rPr>
                  </w:pPr>
                  <w:r>
                    <w:rPr>
                      <w:rFonts w:hint="eastAsia"/>
                      <w:szCs w:val="21"/>
                    </w:rPr>
                    <w:t>2.33</w:t>
                  </w:r>
                </w:p>
              </w:tc>
              <w:tc>
                <w:tcPr>
                  <w:tcW w:w="993" w:type="dxa"/>
                  <w:vAlign w:val="center"/>
                </w:tcPr>
                <w:p>
                  <w:pPr>
                    <w:tabs>
                      <w:tab w:val="left" w:pos="7740"/>
                    </w:tabs>
                    <w:jc w:val="center"/>
                    <w:rPr>
                      <w:szCs w:val="21"/>
                    </w:rPr>
                  </w:pPr>
                  <w:r>
                    <w:rPr>
                      <w:rFonts w:hint="eastAsia"/>
                      <w:szCs w:val="21"/>
                    </w:rPr>
                    <w:t>2.37</w:t>
                  </w:r>
                </w:p>
              </w:tc>
              <w:tc>
                <w:tcPr>
                  <w:tcW w:w="931" w:type="dxa"/>
                  <w:vAlign w:val="center"/>
                </w:tcPr>
                <w:p>
                  <w:pPr>
                    <w:tabs>
                      <w:tab w:val="left" w:pos="7740"/>
                    </w:tabs>
                    <w:jc w:val="center"/>
                    <w:rPr>
                      <w:szCs w:val="21"/>
                    </w:rPr>
                  </w:pPr>
                  <w:r>
                    <w:rPr>
                      <w:rFonts w:hint="eastAsia"/>
                      <w:szCs w:val="21"/>
                    </w:rPr>
                    <w:t>2.23</w:t>
                  </w:r>
                </w:p>
              </w:tc>
              <w:tc>
                <w:tcPr>
                  <w:tcW w:w="1065" w:type="dxa"/>
                  <w:vAlign w:val="center"/>
                </w:tcPr>
                <w:p>
                  <w:pPr>
                    <w:tabs>
                      <w:tab w:val="left" w:pos="7740"/>
                    </w:tabs>
                    <w:jc w:val="center"/>
                    <w:rPr>
                      <w:szCs w:val="21"/>
                    </w:rPr>
                  </w:pPr>
                  <w:r>
                    <w:rPr>
                      <w:rFonts w:hint="eastAsia"/>
                      <w:szCs w:val="21"/>
                    </w:rPr>
                    <w:t>2.29</w:t>
                  </w:r>
                </w:p>
              </w:tc>
              <w:tc>
                <w:tcPr>
                  <w:tcW w:w="705" w:type="dxa"/>
                  <w:vMerge w:val="restart"/>
                  <w:vAlign w:val="center"/>
                </w:tcPr>
                <w:p>
                  <w:pPr>
                    <w:jc w:val="center"/>
                    <w:rPr>
                      <w:szCs w:val="21"/>
                    </w:rPr>
                  </w:pPr>
                  <w:r>
                    <w:rPr>
                      <w:rFonts w:hint="eastAsia"/>
                      <w:szCs w:val="21"/>
                    </w:rPr>
                    <w:t>20</w:t>
                  </w:r>
                </w:p>
              </w:tc>
              <w:tc>
                <w:tcPr>
                  <w:tcW w:w="674" w:type="dxa"/>
                  <w:vMerge w:val="restart"/>
                  <w:vAlign w:val="center"/>
                </w:tcPr>
                <w:p>
                  <w:pPr>
                    <w:jc w:val="center"/>
                    <w:rPr>
                      <w:szCs w:val="21"/>
                    </w:rPr>
                  </w:pPr>
                  <w:r>
                    <w:rPr>
                      <w:szCs w:val="21"/>
                    </w:rPr>
                    <w:t>达标</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648" w:type="dxa"/>
                  <w:vMerge w:val="continue"/>
                  <w:vAlign w:val="center"/>
                </w:tcPr>
                <w:p>
                  <w:pPr>
                    <w:jc w:val="center"/>
                    <w:rPr>
                      <w:szCs w:val="21"/>
                    </w:rPr>
                  </w:pPr>
                </w:p>
              </w:tc>
              <w:tc>
                <w:tcPr>
                  <w:tcW w:w="1111" w:type="dxa"/>
                  <w:vMerge w:val="continue"/>
                  <w:vAlign w:val="center"/>
                </w:tcPr>
                <w:p>
                  <w:pPr>
                    <w:jc w:val="center"/>
                    <w:rPr>
                      <w:szCs w:val="21"/>
                    </w:rPr>
                  </w:pPr>
                </w:p>
              </w:tc>
              <w:tc>
                <w:tcPr>
                  <w:tcW w:w="1161" w:type="dxa"/>
                  <w:vAlign w:val="center"/>
                </w:tcPr>
                <w:p>
                  <w:pPr>
                    <w:jc w:val="center"/>
                    <w:rPr>
                      <w:szCs w:val="21"/>
                    </w:rPr>
                  </w:pPr>
                  <w:r>
                    <w:rPr>
                      <w:szCs w:val="21"/>
                    </w:rPr>
                    <w:t>2017.0</w:t>
                  </w:r>
                  <w:r>
                    <w:rPr>
                      <w:rFonts w:hint="eastAsia"/>
                      <w:szCs w:val="21"/>
                    </w:rPr>
                    <w:t>4</w:t>
                  </w:r>
                  <w:r>
                    <w:rPr>
                      <w:szCs w:val="21"/>
                    </w:rPr>
                    <w:t>.</w:t>
                  </w:r>
                  <w:r>
                    <w:rPr>
                      <w:rFonts w:hint="eastAsia"/>
                      <w:szCs w:val="21"/>
                    </w:rPr>
                    <w:t>25</w:t>
                  </w:r>
                </w:p>
              </w:tc>
              <w:tc>
                <w:tcPr>
                  <w:tcW w:w="853" w:type="dxa"/>
                  <w:vAlign w:val="center"/>
                </w:tcPr>
                <w:p>
                  <w:pPr>
                    <w:tabs>
                      <w:tab w:val="left" w:pos="7740"/>
                    </w:tabs>
                    <w:jc w:val="center"/>
                    <w:rPr>
                      <w:szCs w:val="21"/>
                    </w:rPr>
                  </w:pPr>
                  <w:r>
                    <w:rPr>
                      <w:rFonts w:hint="eastAsia"/>
                      <w:szCs w:val="21"/>
                    </w:rPr>
                    <w:t>1.84</w:t>
                  </w:r>
                </w:p>
              </w:tc>
              <w:tc>
                <w:tcPr>
                  <w:tcW w:w="992" w:type="dxa"/>
                  <w:vAlign w:val="center"/>
                </w:tcPr>
                <w:p>
                  <w:pPr>
                    <w:tabs>
                      <w:tab w:val="left" w:pos="7740"/>
                    </w:tabs>
                    <w:jc w:val="center"/>
                    <w:rPr>
                      <w:szCs w:val="21"/>
                    </w:rPr>
                  </w:pPr>
                  <w:r>
                    <w:rPr>
                      <w:rFonts w:hint="eastAsia"/>
                      <w:szCs w:val="21"/>
                    </w:rPr>
                    <w:t>1.94</w:t>
                  </w:r>
                </w:p>
              </w:tc>
              <w:tc>
                <w:tcPr>
                  <w:tcW w:w="993" w:type="dxa"/>
                  <w:vAlign w:val="center"/>
                </w:tcPr>
                <w:p>
                  <w:pPr>
                    <w:tabs>
                      <w:tab w:val="left" w:pos="7740"/>
                    </w:tabs>
                    <w:jc w:val="center"/>
                    <w:rPr>
                      <w:szCs w:val="21"/>
                    </w:rPr>
                  </w:pPr>
                  <w:r>
                    <w:rPr>
                      <w:rFonts w:hint="eastAsia"/>
                      <w:szCs w:val="21"/>
                    </w:rPr>
                    <w:t>2.02</w:t>
                  </w:r>
                </w:p>
              </w:tc>
              <w:tc>
                <w:tcPr>
                  <w:tcW w:w="931" w:type="dxa"/>
                  <w:vAlign w:val="center"/>
                </w:tcPr>
                <w:p>
                  <w:pPr>
                    <w:tabs>
                      <w:tab w:val="left" w:pos="7740"/>
                    </w:tabs>
                    <w:jc w:val="center"/>
                    <w:rPr>
                      <w:szCs w:val="21"/>
                    </w:rPr>
                  </w:pPr>
                  <w:r>
                    <w:rPr>
                      <w:rFonts w:hint="eastAsia"/>
                      <w:szCs w:val="21"/>
                    </w:rPr>
                    <w:t>2.32</w:t>
                  </w:r>
                </w:p>
              </w:tc>
              <w:tc>
                <w:tcPr>
                  <w:tcW w:w="1065" w:type="dxa"/>
                  <w:vAlign w:val="center"/>
                </w:tcPr>
                <w:p>
                  <w:pPr>
                    <w:tabs>
                      <w:tab w:val="left" w:pos="7740"/>
                    </w:tabs>
                    <w:jc w:val="center"/>
                    <w:rPr>
                      <w:szCs w:val="21"/>
                    </w:rPr>
                  </w:pPr>
                  <w:r>
                    <w:rPr>
                      <w:rFonts w:hint="eastAsia"/>
                      <w:szCs w:val="21"/>
                    </w:rPr>
                    <w:t>2.03</w:t>
                  </w:r>
                </w:p>
              </w:tc>
              <w:tc>
                <w:tcPr>
                  <w:tcW w:w="705" w:type="dxa"/>
                  <w:vMerge w:val="continue"/>
                  <w:vAlign w:val="center"/>
                </w:tcPr>
                <w:p>
                  <w:pPr>
                    <w:jc w:val="center"/>
                    <w:rPr>
                      <w:szCs w:val="21"/>
                    </w:rPr>
                  </w:pPr>
                </w:p>
              </w:tc>
              <w:tc>
                <w:tcPr>
                  <w:tcW w:w="674" w:type="dxa"/>
                  <w:vMerge w:val="continue"/>
                  <w:vAlign w:val="center"/>
                </w:tcPr>
                <w:p>
                  <w:pPr>
                    <w:jc w:val="center"/>
                    <w:rPr>
                      <w:szCs w:val="21"/>
                    </w:rPr>
                  </w:pPr>
                </w:p>
              </w:tc>
            </w:tr>
          </w:tbl>
          <w:p>
            <w:pPr>
              <w:autoSpaceDE w:val="0"/>
              <w:autoSpaceDN w:val="0"/>
              <w:ind w:right="315"/>
              <w:jc w:val="left"/>
              <w:rPr>
                <w:b/>
                <w:kern w:val="0"/>
                <w:sz w:val="24"/>
                <w:szCs w:val="22"/>
              </w:rPr>
            </w:pPr>
          </w:p>
          <w:p>
            <w:pPr>
              <w:autoSpaceDE w:val="0"/>
              <w:autoSpaceDN w:val="0"/>
              <w:ind w:right="315"/>
              <w:jc w:val="left"/>
              <w:rPr>
                <w:kern w:val="0"/>
                <w:sz w:val="22"/>
                <w:szCs w:val="21"/>
              </w:rPr>
            </w:pPr>
            <w:r>
              <w:rPr>
                <w:b/>
                <w:kern w:val="0"/>
                <w:sz w:val="24"/>
                <w:szCs w:val="22"/>
              </w:rPr>
              <w:t>7、废气监测结果</w:t>
            </w:r>
          </w:p>
          <w:p>
            <w:pPr>
              <w:adjustRightInd w:val="0"/>
              <w:snapToGrid w:val="0"/>
              <w:spacing w:line="360" w:lineRule="auto"/>
              <w:jc w:val="right"/>
              <w:rPr>
                <w:b/>
                <w:sz w:val="24"/>
              </w:rPr>
            </w:pPr>
            <w:r>
              <w:t>浓度单位：mg/m</w:t>
            </w:r>
            <w:r>
              <w:rPr>
                <w:vertAlign w:val="superscript"/>
              </w:rPr>
              <w:t>3</w:t>
            </w:r>
            <w:r>
              <w:t>；速率单位：kg/h（注明除外）</w:t>
            </w:r>
          </w:p>
          <w:tbl>
            <w:tblPr>
              <w:tblStyle w:val="27"/>
              <w:tblW w:w="9209"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38"/>
              <w:gridCol w:w="784"/>
              <w:gridCol w:w="1125"/>
              <w:gridCol w:w="909"/>
              <w:gridCol w:w="909"/>
              <w:gridCol w:w="909"/>
              <w:gridCol w:w="909"/>
              <w:gridCol w:w="909"/>
              <w:gridCol w:w="910"/>
              <w:gridCol w:w="603"/>
              <w:gridCol w:w="6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restart"/>
                  <w:vAlign w:val="center"/>
                </w:tcPr>
                <w:p>
                  <w:pPr>
                    <w:jc w:val="center"/>
                  </w:pPr>
                  <w:r>
                    <w:t>监测</w:t>
                  </w:r>
                </w:p>
                <w:p>
                  <w:pPr>
                    <w:jc w:val="center"/>
                  </w:pPr>
                  <w:r>
                    <w:t>点位</w:t>
                  </w:r>
                </w:p>
              </w:tc>
              <w:tc>
                <w:tcPr>
                  <w:tcW w:w="1909" w:type="dxa"/>
                  <w:gridSpan w:val="2"/>
                  <w:vMerge w:val="restart"/>
                  <w:vAlign w:val="center"/>
                </w:tcPr>
                <w:p>
                  <w:pPr>
                    <w:jc w:val="center"/>
                  </w:pPr>
                  <w:r>
                    <w:t>监测因子</w:t>
                  </w:r>
                </w:p>
              </w:tc>
              <w:tc>
                <w:tcPr>
                  <w:tcW w:w="2727" w:type="dxa"/>
                  <w:gridSpan w:val="3"/>
                  <w:vAlign w:val="center"/>
                </w:tcPr>
                <w:p>
                  <w:pPr>
                    <w:jc w:val="center"/>
                  </w:pPr>
                  <w:r>
                    <w:t>2017-0</w:t>
                  </w:r>
                  <w:r>
                    <w:rPr>
                      <w:rFonts w:hint="eastAsia"/>
                    </w:rPr>
                    <w:t>4-24</w:t>
                  </w:r>
                </w:p>
              </w:tc>
              <w:tc>
                <w:tcPr>
                  <w:tcW w:w="2728" w:type="dxa"/>
                  <w:gridSpan w:val="3"/>
                  <w:vAlign w:val="center"/>
                </w:tcPr>
                <w:p>
                  <w:pPr>
                    <w:jc w:val="center"/>
                  </w:pPr>
                  <w:r>
                    <w:t>2017-0</w:t>
                  </w:r>
                  <w:r>
                    <w:rPr>
                      <w:rFonts w:hint="eastAsia"/>
                    </w:rPr>
                    <w:t>4-25</w:t>
                  </w:r>
                </w:p>
              </w:tc>
              <w:tc>
                <w:tcPr>
                  <w:tcW w:w="603" w:type="dxa"/>
                  <w:vMerge w:val="restart"/>
                  <w:vAlign w:val="center"/>
                </w:tcPr>
                <w:p>
                  <w:pPr>
                    <w:jc w:val="center"/>
                  </w:pPr>
                  <w:r>
                    <w:t>标准限值</w:t>
                  </w:r>
                </w:p>
              </w:tc>
              <w:tc>
                <w:tcPr>
                  <w:tcW w:w="604" w:type="dxa"/>
                  <w:vMerge w:val="restart"/>
                  <w:vAlign w:val="center"/>
                </w:tcPr>
                <w:p>
                  <w:pPr>
                    <w:jc w:val="center"/>
                  </w:pPr>
                  <w:r>
                    <w:t>达标</w:t>
                  </w:r>
                </w:p>
                <w:p>
                  <w:pPr>
                    <w:jc w:val="center"/>
                  </w:pPr>
                  <w:r>
                    <w:t>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jc w:val="center"/>
                  </w:pPr>
                </w:p>
              </w:tc>
              <w:tc>
                <w:tcPr>
                  <w:tcW w:w="1909" w:type="dxa"/>
                  <w:gridSpan w:val="2"/>
                  <w:vMerge w:val="continue"/>
                  <w:vAlign w:val="center"/>
                </w:tcPr>
                <w:p>
                  <w:pPr>
                    <w:jc w:val="center"/>
                  </w:pPr>
                </w:p>
              </w:tc>
              <w:tc>
                <w:tcPr>
                  <w:tcW w:w="909" w:type="dxa"/>
                  <w:vAlign w:val="center"/>
                </w:tcPr>
                <w:p>
                  <w:pPr>
                    <w:jc w:val="center"/>
                  </w:pPr>
                  <w:r>
                    <w:t>第1次</w:t>
                  </w:r>
                </w:p>
              </w:tc>
              <w:tc>
                <w:tcPr>
                  <w:tcW w:w="909" w:type="dxa"/>
                  <w:vAlign w:val="center"/>
                </w:tcPr>
                <w:p>
                  <w:pPr>
                    <w:jc w:val="center"/>
                  </w:pPr>
                  <w:r>
                    <w:t>第2次</w:t>
                  </w:r>
                </w:p>
              </w:tc>
              <w:tc>
                <w:tcPr>
                  <w:tcW w:w="909" w:type="dxa"/>
                  <w:vAlign w:val="center"/>
                </w:tcPr>
                <w:p>
                  <w:pPr>
                    <w:jc w:val="center"/>
                  </w:pPr>
                  <w:r>
                    <w:t>第3次</w:t>
                  </w:r>
                </w:p>
              </w:tc>
              <w:tc>
                <w:tcPr>
                  <w:tcW w:w="909" w:type="dxa"/>
                  <w:vAlign w:val="center"/>
                </w:tcPr>
                <w:p>
                  <w:pPr>
                    <w:jc w:val="center"/>
                  </w:pPr>
                  <w:r>
                    <w:t>第1次</w:t>
                  </w:r>
                </w:p>
              </w:tc>
              <w:tc>
                <w:tcPr>
                  <w:tcW w:w="909" w:type="dxa"/>
                  <w:vAlign w:val="center"/>
                </w:tcPr>
                <w:p>
                  <w:pPr>
                    <w:jc w:val="center"/>
                  </w:pPr>
                  <w:r>
                    <w:t>第2次</w:t>
                  </w:r>
                </w:p>
              </w:tc>
              <w:tc>
                <w:tcPr>
                  <w:tcW w:w="910" w:type="dxa"/>
                  <w:vAlign w:val="center"/>
                </w:tcPr>
                <w:p>
                  <w:pPr>
                    <w:jc w:val="center"/>
                  </w:pPr>
                  <w:r>
                    <w:t>第3次</w:t>
                  </w:r>
                </w:p>
              </w:tc>
              <w:tc>
                <w:tcPr>
                  <w:tcW w:w="603" w:type="dxa"/>
                  <w:vMerge w:val="continue"/>
                  <w:vAlign w:val="center"/>
                </w:tcPr>
                <w:p>
                  <w:pPr>
                    <w:jc w:val="center"/>
                  </w:pPr>
                </w:p>
              </w:tc>
              <w:tc>
                <w:tcPr>
                  <w:tcW w:w="604" w:type="dxa"/>
                  <w:vMerge w:val="continue"/>
                  <w:vAlign w:val="center"/>
                </w:tcPr>
                <w:p>
                  <w:pPr>
                    <w:jc w:val="cente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472" w:hRule="atLeast"/>
                <w:jc w:val="center"/>
              </w:trPr>
              <w:tc>
                <w:tcPr>
                  <w:tcW w:w="638" w:type="dxa"/>
                  <w:vMerge w:val="restart"/>
                  <w:vAlign w:val="center"/>
                </w:tcPr>
                <w:p>
                  <w:pPr>
                    <w:adjustRightInd w:val="0"/>
                    <w:snapToGrid w:val="0"/>
                    <w:jc w:val="center"/>
                    <w:rPr>
                      <w:szCs w:val="21"/>
                    </w:rPr>
                  </w:pPr>
                  <w:r>
                    <w:rPr>
                      <w:rFonts w:hint="eastAsia" w:ascii="宋体" w:hAnsi="宋体" w:cs="宋体"/>
                      <w:kern w:val="0"/>
                      <w:sz w:val="22"/>
                      <w:szCs w:val="21"/>
                    </w:rPr>
                    <w:t>炸酸工序</w:t>
                  </w:r>
                  <w:r>
                    <w:rPr>
                      <w:kern w:val="0"/>
                      <w:sz w:val="22"/>
                      <w:szCs w:val="21"/>
                    </w:rPr>
                    <w:t>废气处理前采样口</w:t>
                  </w:r>
                </w:p>
              </w:tc>
              <w:tc>
                <w:tcPr>
                  <w:tcW w:w="1909" w:type="dxa"/>
                  <w:gridSpan w:val="2"/>
                  <w:vAlign w:val="center"/>
                </w:tcPr>
                <w:p>
                  <w:pPr>
                    <w:jc w:val="center"/>
                  </w:pPr>
                  <w:r>
                    <w:t>标况流量 (m</w:t>
                  </w:r>
                  <w:r>
                    <w:rPr>
                      <w:vertAlign w:val="superscript"/>
                    </w:rPr>
                    <w:t>3</w:t>
                  </w:r>
                  <w:r>
                    <w:t>/h)</w:t>
                  </w:r>
                </w:p>
              </w:tc>
              <w:tc>
                <w:tcPr>
                  <w:tcW w:w="909" w:type="dxa"/>
                  <w:vAlign w:val="center"/>
                </w:tcPr>
                <w:p>
                  <w:pPr>
                    <w:jc w:val="center"/>
                    <w:rPr>
                      <w:szCs w:val="21"/>
                    </w:rPr>
                  </w:pPr>
                  <w:r>
                    <w:rPr>
                      <w:rFonts w:hint="eastAsia"/>
                      <w:szCs w:val="21"/>
                    </w:rPr>
                    <w:t>3748</w:t>
                  </w:r>
                </w:p>
              </w:tc>
              <w:tc>
                <w:tcPr>
                  <w:tcW w:w="909" w:type="dxa"/>
                  <w:vAlign w:val="center"/>
                </w:tcPr>
                <w:p>
                  <w:pPr>
                    <w:jc w:val="center"/>
                    <w:rPr>
                      <w:szCs w:val="21"/>
                    </w:rPr>
                  </w:pPr>
                  <w:r>
                    <w:rPr>
                      <w:rFonts w:hint="eastAsia"/>
                      <w:szCs w:val="21"/>
                    </w:rPr>
                    <w:t>3645</w:t>
                  </w:r>
                </w:p>
              </w:tc>
              <w:tc>
                <w:tcPr>
                  <w:tcW w:w="909" w:type="dxa"/>
                  <w:vAlign w:val="center"/>
                </w:tcPr>
                <w:p>
                  <w:pPr>
                    <w:jc w:val="center"/>
                    <w:rPr>
                      <w:szCs w:val="21"/>
                    </w:rPr>
                  </w:pPr>
                  <w:r>
                    <w:rPr>
                      <w:rFonts w:hint="eastAsia"/>
                      <w:szCs w:val="21"/>
                    </w:rPr>
                    <w:t>3656</w:t>
                  </w:r>
                </w:p>
              </w:tc>
              <w:tc>
                <w:tcPr>
                  <w:tcW w:w="909" w:type="dxa"/>
                  <w:vAlign w:val="center"/>
                </w:tcPr>
                <w:p>
                  <w:pPr>
                    <w:jc w:val="center"/>
                    <w:rPr>
                      <w:szCs w:val="21"/>
                    </w:rPr>
                  </w:pPr>
                  <w:r>
                    <w:rPr>
                      <w:rFonts w:hint="eastAsia"/>
                      <w:szCs w:val="21"/>
                    </w:rPr>
                    <w:t>3546</w:t>
                  </w:r>
                </w:p>
              </w:tc>
              <w:tc>
                <w:tcPr>
                  <w:tcW w:w="909" w:type="dxa"/>
                  <w:vAlign w:val="center"/>
                </w:tcPr>
                <w:p>
                  <w:pPr>
                    <w:jc w:val="center"/>
                    <w:rPr>
                      <w:szCs w:val="21"/>
                    </w:rPr>
                  </w:pPr>
                  <w:r>
                    <w:rPr>
                      <w:rFonts w:hint="eastAsia"/>
                      <w:szCs w:val="21"/>
                    </w:rPr>
                    <w:t>3592</w:t>
                  </w:r>
                </w:p>
              </w:tc>
              <w:tc>
                <w:tcPr>
                  <w:tcW w:w="910" w:type="dxa"/>
                  <w:vAlign w:val="center"/>
                </w:tcPr>
                <w:p>
                  <w:pPr>
                    <w:jc w:val="center"/>
                    <w:rPr>
                      <w:szCs w:val="21"/>
                    </w:rPr>
                  </w:pPr>
                  <w:r>
                    <w:rPr>
                      <w:rFonts w:hint="eastAsia"/>
                      <w:szCs w:val="21"/>
                    </w:rPr>
                    <w:t>3712</w:t>
                  </w:r>
                </w:p>
              </w:tc>
              <w:tc>
                <w:tcPr>
                  <w:tcW w:w="603" w:type="dxa"/>
                  <w:vAlign w:val="center"/>
                </w:tcPr>
                <w:p>
                  <w:pPr>
                    <w:jc w:val="center"/>
                    <w:rPr>
                      <w:szCs w:val="21"/>
                    </w:rPr>
                  </w:pPr>
                  <w:r>
                    <w:rPr>
                      <w:rFonts w:hint="eastAsia"/>
                      <w:szCs w:val="21"/>
                    </w:rPr>
                    <w:t>/</w:t>
                  </w:r>
                </w:p>
              </w:tc>
              <w:tc>
                <w:tcPr>
                  <w:tcW w:w="604" w:type="dxa"/>
                  <w:vAlign w:val="center"/>
                </w:tcPr>
                <w:p>
                  <w:pPr>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34" w:hRule="atLeast"/>
                <w:jc w:val="center"/>
              </w:trPr>
              <w:tc>
                <w:tcPr>
                  <w:tcW w:w="638" w:type="dxa"/>
                  <w:vMerge w:val="continue"/>
                  <w:vAlign w:val="center"/>
                </w:tcPr>
                <w:p>
                  <w:pPr>
                    <w:adjustRightInd w:val="0"/>
                    <w:snapToGrid w:val="0"/>
                    <w:jc w:val="center"/>
                    <w:rPr>
                      <w:szCs w:val="21"/>
                    </w:rPr>
                  </w:pPr>
                </w:p>
              </w:tc>
              <w:tc>
                <w:tcPr>
                  <w:tcW w:w="784" w:type="dxa"/>
                  <w:vMerge w:val="restart"/>
                  <w:vAlign w:val="center"/>
                </w:tcPr>
                <w:p>
                  <w:pPr>
                    <w:jc w:val="center"/>
                    <w:rPr>
                      <w:szCs w:val="21"/>
                    </w:rPr>
                  </w:pPr>
                  <w:r>
                    <w:rPr>
                      <w:kern w:val="0"/>
                      <w:sz w:val="22"/>
                      <w:szCs w:val="21"/>
                    </w:rPr>
                    <w:t>硫酸雾</w:t>
                  </w:r>
                </w:p>
              </w:tc>
              <w:tc>
                <w:tcPr>
                  <w:tcW w:w="1125" w:type="dxa"/>
                  <w:vAlign w:val="center"/>
                </w:tcPr>
                <w:p>
                  <w:pPr>
                    <w:jc w:val="center"/>
                  </w:pPr>
                  <w:r>
                    <w:t>排放浓度</w:t>
                  </w:r>
                </w:p>
              </w:tc>
              <w:tc>
                <w:tcPr>
                  <w:tcW w:w="909" w:type="dxa"/>
                  <w:vAlign w:val="center"/>
                </w:tcPr>
                <w:p>
                  <w:pPr>
                    <w:jc w:val="center"/>
                    <w:rPr>
                      <w:szCs w:val="21"/>
                    </w:rPr>
                  </w:pPr>
                  <w:r>
                    <w:rPr>
                      <w:rFonts w:hint="eastAsia"/>
                      <w:szCs w:val="21"/>
                    </w:rPr>
                    <w:t>0.2L</w:t>
                  </w:r>
                </w:p>
              </w:tc>
              <w:tc>
                <w:tcPr>
                  <w:tcW w:w="909" w:type="dxa"/>
                  <w:vAlign w:val="center"/>
                </w:tcPr>
                <w:p>
                  <w:pPr>
                    <w:jc w:val="center"/>
                    <w:rPr>
                      <w:szCs w:val="21"/>
                    </w:rPr>
                  </w:pPr>
                  <w:r>
                    <w:rPr>
                      <w:rFonts w:hint="eastAsia"/>
                      <w:szCs w:val="21"/>
                    </w:rPr>
                    <w:t>0.2L</w:t>
                  </w:r>
                </w:p>
              </w:tc>
              <w:tc>
                <w:tcPr>
                  <w:tcW w:w="909" w:type="dxa"/>
                  <w:vAlign w:val="center"/>
                </w:tcPr>
                <w:p>
                  <w:pPr>
                    <w:jc w:val="center"/>
                    <w:rPr>
                      <w:szCs w:val="21"/>
                    </w:rPr>
                  </w:pPr>
                  <w:r>
                    <w:rPr>
                      <w:rFonts w:hint="eastAsia"/>
                      <w:szCs w:val="21"/>
                    </w:rPr>
                    <w:t>0.3</w:t>
                  </w:r>
                </w:p>
              </w:tc>
              <w:tc>
                <w:tcPr>
                  <w:tcW w:w="909" w:type="dxa"/>
                  <w:vAlign w:val="center"/>
                </w:tcPr>
                <w:p>
                  <w:pPr>
                    <w:jc w:val="center"/>
                    <w:rPr>
                      <w:szCs w:val="21"/>
                    </w:rPr>
                  </w:pPr>
                  <w:r>
                    <w:rPr>
                      <w:rFonts w:hint="eastAsia"/>
                      <w:szCs w:val="21"/>
                    </w:rPr>
                    <w:t>2.7</w:t>
                  </w:r>
                </w:p>
              </w:tc>
              <w:tc>
                <w:tcPr>
                  <w:tcW w:w="909" w:type="dxa"/>
                  <w:vAlign w:val="center"/>
                </w:tcPr>
                <w:p>
                  <w:pPr>
                    <w:jc w:val="center"/>
                    <w:rPr>
                      <w:szCs w:val="21"/>
                    </w:rPr>
                  </w:pPr>
                  <w:r>
                    <w:rPr>
                      <w:rFonts w:hint="eastAsia"/>
                      <w:szCs w:val="21"/>
                    </w:rPr>
                    <w:t>0.2L</w:t>
                  </w:r>
                </w:p>
              </w:tc>
              <w:tc>
                <w:tcPr>
                  <w:tcW w:w="910" w:type="dxa"/>
                  <w:vAlign w:val="center"/>
                </w:tcPr>
                <w:p>
                  <w:pPr>
                    <w:jc w:val="center"/>
                    <w:rPr>
                      <w:szCs w:val="21"/>
                    </w:rPr>
                  </w:pPr>
                  <w:r>
                    <w:rPr>
                      <w:rFonts w:hint="eastAsia"/>
                      <w:szCs w:val="21"/>
                    </w:rPr>
                    <w:t>2.3</w:t>
                  </w:r>
                </w:p>
              </w:tc>
              <w:tc>
                <w:tcPr>
                  <w:tcW w:w="603" w:type="dxa"/>
                  <w:vAlign w:val="center"/>
                </w:tcPr>
                <w:p>
                  <w:pPr>
                    <w:jc w:val="center"/>
                    <w:rPr>
                      <w:szCs w:val="21"/>
                    </w:rPr>
                  </w:pPr>
                  <w:r>
                    <w:rPr>
                      <w:rFonts w:hint="eastAsia"/>
                      <w:szCs w:val="21"/>
                    </w:rPr>
                    <w:t>/</w:t>
                  </w:r>
                </w:p>
              </w:tc>
              <w:tc>
                <w:tcPr>
                  <w:tcW w:w="604" w:type="dxa"/>
                  <w:vAlign w:val="center"/>
                </w:tcPr>
                <w:p>
                  <w:pPr>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continue"/>
                  <w:vAlign w:val="center"/>
                </w:tcPr>
                <w:p>
                  <w:pPr>
                    <w:jc w:val="center"/>
                    <w:rPr>
                      <w:szCs w:val="21"/>
                    </w:rPr>
                  </w:pPr>
                </w:p>
              </w:tc>
              <w:tc>
                <w:tcPr>
                  <w:tcW w:w="1125" w:type="dxa"/>
                  <w:vAlign w:val="center"/>
                </w:tcPr>
                <w:p>
                  <w:pPr>
                    <w:jc w:val="center"/>
                  </w:pPr>
                  <w:r>
                    <w:t>排放速率</w:t>
                  </w:r>
                </w:p>
              </w:tc>
              <w:tc>
                <w:tcPr>
                  <w:tcW w:w="909" w:type="dxa"/>
                  <w:vAlign w:val="center"/>
                </w:tcPr>
                <w:p>
                  <w:pPr>
                    <w:jc w:val="center"/>
                    <w:rPr>
                      <w:szCs w:val="21"/>
                    </w:rPr>
                  </w:pPr>
                  <w:r>
                    <w:rPr>
                      <w:rFonts w:hint="eastAsia"/>
                      <w:szCs w:val="21"/>
                    </w:rPr>
                    <w:t>3.7×10</w:t>
                  </w:r>
                  <w:r>
                    <w:rPr>
                      <w:rFonts w:hint="eastAsia"/>
                      <w:szCs w:val="21"/>
                      <w:vertAlign w:val="superscript"/>
                    </w:rPr>
                    <w:t>-4</w:t>
                  </w:r>
                </w:p>
              </w:tc>
              <w:tc>
                <w:tcPr>
                  <w:tcW w:w="909" w:type="dxa"/>
                  <w:vAlign w:val="center"/>
                </w:tcPr>
                <w:p>
                  <w:pPr>
                    <w:jc w:val="center"/>
                    <w:rPr>
                      <w:szCs w:val="21"/>
                    </w:rPr>
                  </w:pPr>
                  <w:r>
                    <w:rPr>
                      <w:rFonts w:hint="eastAsia"/>
                      <w:szCs w:val="21"/>
                    </w:rPr>
                    <w:t>3.6×10</w:t>
                  </w:r>
                  <w:r>
                    <w:rPr>
                      <w:rFonts w:hint="eastAsia"/>
                      <w:szCs w:val="21"/>
                      <w:vertAlign w:val="superscript"/>
                    </w:rPr>
                    <w:t>-4</w:t>
                  </w:r>
                </w:p>
              </w:tc>
              <w:tc>
                <w:tcPr>
                  <w:tcW w:w="909" w:type="dxa"/>
                  <w:vAlign w:val="center"/>
                </w:tcPr>
                <w:p>
                  <w:pPr>
                    <w:jc w:val="center"/>
                    <w:rPr>
                      <w:szCs w:val="21"/>
                    </w:rPr>
                  </w:pPr>
                  <w:r>
                    <w:rPr>
                      <w:rFonts w:hint="eastAsia"/>
                      <w:szCs w:val="21"/>
                    </w:rPr>
                    <w:t>1.2×10</w:t>
                  </w:r>
                  <w:r>
                    <w:rPr>
                      <w:rFonts w:hint="eastAsia"/>
                      <w:szCs w:val="21"/>
                      <w:vertAlign w:val="superscript"/>
                    </w:rPr>
                    <w:t>-3</w:t>
                  </w:r>
                </w:p>
              </w:tc>
              <w:tc>
                <w:tcPr>
                  <w:tcW w:w="909" w:type="dxa"/>
                  <w:vAlign w:val="center"/>
                </w:tcPr>
                <w:p>
                  <w:pPr>
                    <w:jc w:val="center"/>
                    <w:rPr>
                      <w:szCs w:val="21"/>
                    </w:rPr>
                  </w:pPr>
                  <w:r>
                    <w:rPr>
                      <w:rFonts w:hint="eastAsia"/>
                      <w:szCs w:val="21"/>
                    </w:rPr>
                    <w:t>9.4×10</w:t>
                  </w:r>
                  <w:r>
                    <w:rPr>
                      <w:rFonts w:hint="eastAsia"/>
                      <w:szCs w:val="21"/>
                      <w:vertAlign w:val="superscript"/>
                    </w:rPr>
                    <w:t>-3</w:t>
                  </w:r>
                </w:p>
              </w:tc>
              <w:tc>
                <w:tcPr>
                  <w:tcW w:w="909" w:type="dxa"/>
                  <w:vAlign w:val="center"/>
                </w:tcPr>
                <w:p>
                  <w:pPr>
                    <w:jc w:val="center"/>
                    <w:rPr>
                      <w:szCs w:val="21"/>
                    </w:rPr>
                  </w:pPr>
                  <w:r>
                    <w:rPr>
                      <w:rFonts w:hint="eastAsia"/>
                      <w:szCs w:val="21"/>
                    </w:rPr>
                    <w:t>3.6×10</w:t>
                  </w:r>
                  <w:r>
                    <w:rPr>
                      <w:rFonts w:hint="eastAsia"/>
                      <w:szCs w:val="21"/>
                      <w:vertAlign w:val="superscript"/>
                    </w:rPr>
                    <w:t>-4</w:t>
                  </w:r>
                </w:p>
              </w:tc>
              <w:tc>
                <w:tcPr>
                  <w:tcW w:w="910" w:type="dxa"/>
                  <w:vAlign w:val="center"/>
                </w:tcPr>
                <w:p>
                  <w:pPr>
                    <w:jc w:val="center"/>
                    <w:rPr>
                      <w:szCs w:val="21"/>
                    </w:rPr>
                  </w:pPr>
                  <w:r>
                    <w:rPr>
                      <w:rFonts w:hint="eastAsia"/>
                      <w:szCs w:val="21"/>
                    </w:rPr>
                    <w:t>8.4×10</w:t>
                  </w:r>
                  <w:r>
                    <w:rPr>
                      <w:rFonts w:hint="eastAsia"/>
                      <w:szCs w:val="21"/>
                      <w:vertAlign w:val="superscript"/>
                    </w:rPr>
                    <w:t>-3</w:t>
                  </w:r>
                </w:p>
              </w:tc>
              <w:tc>
                <w:tcPr>
                  <w:tcW w:w="603" w:type="dxa"/>
                  <w:vAlign w:val="center"/>
                </w:tcPr>
                <w:p>
                  <w:pPr>
                    <w:jc w:val="center"/>
                    <w:rPr>
                      <w:szCs w:val="21"/>
                    </w:rPr>
                  </w:pPr>
                  <w:r>
                    <w:rPr>
                      <w:rFonts w:hint="eastAsia"/>
                      <w:szCs w:val="21"/>
                    </w:rPr>
                    <w:t>/</w:t>
                  </w:r>
                </w:p>
              </w:tc>
              <w:tc>
                <w:tcPr>
                  <w:tcW w:w="604" w:type="dxa"/>
                  <w:vAlign w:val="center"/>
                </w:tcPr>
                <w:p>
                  <w:pPr>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restart"/>
                  <w:vAlign w:val="center"/>
                </w:tcPr>
                <w:p>
                  <w:pPr>
                    <w:jc w:val="center"/>
                    <w:rPr>
                      <w:szCs w:val="21"/>
                    </w:rPr>
                  </w:pPr>
                  <w:r>
                    <w:rPr>
                      <w:szCs w:val="21"/>
                    </w:rPr>
                    <w:t>氯化氢</w:t>
                  </w:r>
                </w:p>
              </w:tc>
              <w:tc>
                <w:tcPr>
                  <w:tcW w:w="1125" w:type="dxa"/>
                  <w:vAlign w:val="center"/>
                </w:tcPr>
                <w:p>
                  <w:pPr>
                    <w:jc w:val="center"/>
                  </w:pPr>
                  <w:r>
                    <w:t>排放浓度</w:t>
                  </w:r>
                </w:p>
              </w:tc>
              <w:tc>
                <w:tcPr>
                  <w:tcW w:w="909" w:type="dxa"/>
                  <w:vAlign w:val="center"/>
                </w:tcPr>
                <w:p>
                  <w:pPr>
                    <w:jc w:val="center"/>
                    <w:rPr>
                      <w:szCs w:val="21"/>
                    </w:rPr>
                  </w:pPr>
                  <w:r>
                    <w:rPr>
                      <w:rFonts w:hint="eastAsia"/>
                      <w:szCs w:val="21"/>
                    </w:rPr>
                    <w:t>0.39</w:t>
                  </w:r>
                </w:p>
              </w:tc>
              <w:tc>
                <w:tcPr>
                  <w:tcW w:w="909" w:type="dxa"/>
                  <w:vAlign w:val="center"/>
                </w:tcPr>
                <w:p>
                  <w:pPr>
                    <w:jc w:val="center"/>
                    <w:rPr>
                      <w:szCs w:val="21"/>
                    </w:rPr>
                  </w:pPr>
                  <w:r>
                    <w:rPr>
                      <w:rFonts w:hint="eastAsia"/>
                      <w:szCs w:val="21"/>
                    </w:rPr>
                    <w:t>2.98</w:t>
                  </w:r>
                </w:p>
              </w:tc>
              <w:tc>
                <w:tcPr>
                  <w:tcW w:w="909" w:type="dxa"/>
                  <w:vAlign w:val="center"/>
                </w:tcPr>
                <w:p>
                  <w:pPr>
                    <w:jc w:val="center"/>
                    <w:rPr>
                      <w:szCs w:val="21"/>
                    </w:rPr>
                  </w:pPr>
                  <w:r>
                    <w:rPr>
                      <w:rFonts w:hint="eastAsia"/>
                      <w:szCs w:val="21"/>
                    </w:rPr>
                    <w:t>2.29</w:t>
                  </w:r>
                </w:p>
              </w:tc>
              <w:tc>
                <w:tcPr>
                  <w:tcW w:w="909" w:type="dxa"/>
                  <w:vAlign w:val="center"/>
                </w:tcPr>
                <w:p>
                  <w:pPr>
                    <w:jc w:val="center"/>
                    <w:rPr>
                      <w:szCs w:val="21"/>
                    </w:rPr>
                  </w:pPr>
                  <w:r>
                    <w:rPr>
                      <w:rFonts w:hint="eastAsia"/>
                      <w:szCs w:val="21"/>
                    </w:rPr>
                    <w:t>3.34</w:t>
                  </w:r>
                </w:p>
              </w:tc>
              <w:tc>
                <w:tcPr>
                  <w:tcW w:w="909" w:type="dxa"/>
                  <w:vAlign w:val="center"/>
                </w:tcPr>
                <w:p>
                  <w:pPr>
                    <w:jc w:val="center"/>
                    <w:rPr>
                      <w:szCs w:val="21"/>
                    </w:rPr>
                  </w:pPr>
                  <w:r>
                    <w:rPr>
                      <w:rFonts w:hint="eastAsia"/>
                      <w:szCs w:val="21"/>
                    </w:rPr>
                    <w:t>0.47</w:t>
                  </w:r>
                </w:p>
              </w:tc>
              <w:tc>
                <w:tcPr>
                  <w:tcW w:w="910" w:type="dxa"/>
                  <w:vAlign w:val="center"/>
                </w:tcPr>
                <w:p>
                  <w:pPr>
                    <w:jc w:val="center"/>
                    <w:rPr>
                      <w:szCs w:val="21"/>
                    </w:rPr>
                  </w:pPr>
                  <w:r>
                    <w:rPr>
                      <w:rFonts w:hint="eastAsia"/>
                      <w:szCs w:val="21"/>
                    </w:rPr>
                    <w:t>0.2L</w:t>
                  </w:r>
                </w:p>
              </w:tc>
              <w:tc>
                <w:tcPr>
                  <w:tcW w:w="603" w:type="dxa"/>
                  <w:vAlign w:val="center"/>
                </w:tcPr>
                <w:p>
                  <w:pPr>
                    <w:jc w:val="center"/>
                    <w:rPr>
                      <w:szCs w:val="21"/>
                    </w:rPr>
                  </w:pPr>
                  <w:r>
                    <w:rPr>
                      <w:rFonts w:hint="eastAsia"/>
                      <w:szCs w:val="21"/>
                    </w:rPr>
                    <w:t>/</w:t>
                  </w:r>
                </w:p>
              </w:tc>
              <w:tc>
                <w:tcPr>
                  <w:tcW w:w="604" w:type="dxa"/>
                  <w:vAlign w:val="center"/>
                </w:tcPr>
                <w:p>
                  <w:pPr>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continue"/>
                  <w:vAlign w:val="center"/>
                </w:tcPr>
                <w:p>
                  <w:pPr>
                    <w:jc w:val="center"/>
                    <w:rPr>
                      <w:szCs w:val="21"/>
                    </w:rPr>
                  </w:pPr>
                </w:p>
              </w:tc>
              <w:tc>
                <w:tcPr>
                  <w:tcW w:w="1125" w:type="dxa"/>
                  <w:vAlign w:val="center"/>
                </w:tcPr>
                <w:p>
                  <w:pPr>
                    <w:jc w:val="center"/>
                  </w:pPr>
                  <w:r>
                    <w:t>排放速率</w:t>
                  </w:r>
                </w:p>
              </w:tc>
              <w:tc>
                <w:tcPr>
                  <w:tcW w:w="909" w:type="dxa"/>
                  <w:vAlign w:val="center"/>
                </w:tcPr>
                <w:p>
                  <w:pPr>
                    <w:jc w:val="center"/>
                    <w:rPr>
                      <w:szCs w:val="21"/>
                    </w:rPr>
                  </w:pPr>
                  <w:r>
                    <w:rPr>
                      <w:rFonts w:hint="eastAsia"/>
                      <w:szCs w:val="21"/>
                    </w:rPr>
                    <w:t>1.5×10</w:t>
                  </w:r>
                  <w:r>
                    <w:rPr>
                      <w:rFonts w:hint="eastAsia"/>
                      <w:szCs w:val="21"/>
                      <w:vertAlign w:val="superscript"/>
                    </w:rPr>
                    <w:t>-3</w:t>
                  </w:r>
                </w:p>
              </w:tc>
              <w:tc>
                <w:tcPr>
                  <w:tcW w:w="909" w:type="dxa"/>
                  <w:vAlign w:val="center"/>
                </w:tcPr>
                <w:p>
                  <w:pPr>
                    <w:jc w:val="center"/>
                    <w:rPr>
                      <w:szCs w:val="21"/>
                    </w:rPr>
                  </w:pPr>
                  <w:r>
                    <w:rPr>
                      <w:rFonts w:hint="eastAsia"/>
                      <w:szCs w:val="21"/>
                    </w:rPr>
                    <w:t>0.011</w:t>
                  </w:r>
                </w:p>
              </w:tc>
              <w:tc>
                <w:tcPr>
                  <w:tcW w:w="909" w:type="dxa"/>
                  <w:vAlign w:val="center"/>
                </w:tcPr>
                <w:p>
                  <w:pPr>
                    <w:jc w:val="center"/>
                    <w:rPr>
                      <w:szCs w:val="21"/>
                    </w:rPr>
                  </w:pPr>
                  <w:r>
                    <w:rPr>
                      <w:rFonts w:hint="eastAsia"/>
                      <w:szCs w:val="21"/>
                    </w:rPr>
                    <w:t>8.4×10</w:t>
                  </w:r>
                  <w:r>
                    <w:rPr>
                      <w:rFonts w:hint="eastAsia"/>
                      <w:szCs w:val="21"/>
                      <w:vertAlign w:val="superscript"/>
                    </w:rPr>
                    <w:t>-3</w:t>
                  </w:r>
                </w:p>
              </w:tc>
              <w:tc>
                <w:tcPr>
                  <w:tcW w:w="909" w:type="dxa"/>
                  <w:vAlign w:val="center"/>
                </w:tcPr>
                <w:p>
                  <w:pPr>
                    <w:jc w:val="center"/>
                    <w:rPr>
                      <w:szCs w:val="21"/>
                    </w:rPr>
                  </w:pPr>
                  <w:r>
                    <w:rPr>
                      <w:rFonts w:hint="eastAsia"/>
                      <w:szCs w:val="21"/>
                    </w:rPr>
                    <w:t>0.012</w:t>
                  </w:r>
                </w:p>
              </w:tc>
              <w:tc>
                <w:tcPr>
                  <w:tcW w:w="909" w:type="dxa"/>
                  <w:vAlign w:val="center"/>
                </w:tcPr>
                <w:p>
                  <w:pPr>
                    <w:jc w:val="center"/>
                    <w:rPr>
                      <w:szCs w:val="21"/>
                    </w:rPr>
                  </w:pPr>
                  <w:r>
                    <w:rPr>
                      <w:rFonts w:hint="eastAsia"/>
                      <w:szCs w:val="21"/>
                    </w:rPr>
                    <w:t>1.7×10</w:t>
                  </w:r>
                  <w:r>
                    <w:rPr>
                      <w:rFonts w:hint="eastAsia"/>
                      <w:szCs w:val="21"/>
                      <w:vertAlign w:val="superscript"/>
                    </w:rPr>
                    <w:t>-3</w:t>
                  </w:r>
                </w:p>
              </w:tc>
              <w:tc>
                <w:tcPr>
                  <w:tcW w:w="910" w:type="dxa"/>
                  <w:vAlign w:val="center"/>
                </w:tcPr>
                <w:p>
                  <w:pPr>
                    <w:jc w:val="center"/>
                    <w:rPr>
                      <w:szCs w:val="21"/>
                    </w:rPr>
                  </w:pPr>
                  <w:r>
                    <w:rPr>
                      <w:rFonts w:hint="eastAsia"/>
                      <w:szCs w:val="21"/>
                    </w:rPr>
                    <w:t>3.7×10</w:t>
                  </w:r>
                  <w:r>
                    <w:rPr>
                      <w:rFonts w:hint="eastAsia"/>
                      <w:szCs w:val="21"/>
                      <w:vertAlign w:val="superscript"/>
                    </w:rPr>
                    <w:t>-4</w:t>
                  </w:r>
                </w:p>
              </w:tc>
              <w:tc>
                <w:tcPr>
                  <w:tcW w:w="603" w:type="dxa"/>
                  <w:vAlign w:val="center"/>
                </w:tcPr>
                <w:p>
                  <w:pPr>
                    <w:jc w:val="center"/>
                    <w:rPr>
                      <w:szCs w:val="21"/>
                    </w:rPr>
                  </w:pPr>
                  <w:r>
                    <w:rPr>
                      <w:rFonts w:hint="eastAsia"/>
                      <w:szCs w:val="21"/>
                    </w:rPr>
                    <w:t>/</w:t>
                  </w:r>
                </w:p>
              </w:tc>
              <w:tc>
                <w:tcPr>
                  <w:tcW w:w="604" w:type="dxa"/>
                  <w:vAlign w:val="center"/>
                </w:tcPr>
                <w:p>
                  <w:pPr>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restart"/>
                  <w:vAlign w:val="center"/>
                </w:tcPr>
                <w:p>
                  <w:pPr>
                    <w:jc w:val="center"/>
                    <w:rPr>
                      <w:szCs w:val="21"/>
                    </w:rPr>
                  </w:pPr>
                  <w:r>
                    <w:rPr>
                      <w:szCs w:val="21"/>
                    </w:rPr>
                    <w:t>颗粒物</w:t>
                  </w:r>
                </w:p>
              </w:tc>
              <w:tc>
                <w:tcPr>
                  <w:tcW w:w="1125" w:type="dxa"/>
                  <w:vAlign w:val="center"/>
                </w:tcPr>
                <w:p>
                  <w:pPr>
                    <w:jc w:val="center"/>
                  </w:pPr>
                  <w:r>
                    <w:t>排放浓度</w:t>
                  </w:r>
                </w:p>
              </w:tc>
              <w:tc>
                <w:tcPr>
                  <w:tcW w:w="909" w:type="dxa"/>
                  <w:vAlign w:val="center"/>
                </w:tcPr>
                <w:p>
                  <w:pPr>
                    <w:jc w:val="center"/>
                    <w:rPr>
                      <w:szCs w:val="21"/>
                    </w:rPr>
                  </w:pPr>
                  <w:r>
                    <w:rPr>
                      <w:rFonts w:hint="eastAsia"/>
                      <w:szCs w:val="21"/>
                    </w:rPr>
                    <w:t>1.0L</w:t>
                  </w:r>
                </w:p>
              </w:tc>
              <w:tc>
                <w:tcPr>
                  <w:tcW w:w="909" w:type="dxa"/>
                  <w:vAlign w:val="center"/>
                </w:tcPr>
                <w:p>
                  <w:pPr>
                    <w:jc w:val="center"/>
                    <w:rPr>
                      <w:szCs w:val="21"/>
                    </w:rPr>
                  </w:pPr>
                  <w:r>
                    <w:rPr>
                      <w:rFonts w:hint="eastAsia"/>
                      <w:szCs w:val="21"/>
                    </w:rPr>
                    <w:t>1.0L</w:t>
                  </w:r>
                </w:p>
              </w:tc>
              <w:tc>
                <w:tcPr>
                  <w:tcW w:w="909" w:type="dxa"/>
                  <w:vAlign w:val="center"/>
                </w:tcPr>
                <w:p>
                  <w:pPr>
                    <w:jc w:val="center"/>
                    <w:rPr>
                      <w:szCs w:val="21"/>
                    </w:rPr>
                  </w:pPr>
                  <w:r>
                    <w:rPr>
                      <w:rFonts w:hint="eastAsia"/>
                      <w:szCs w:val="21"/>
                    </w:rPr>
                    <w:t>1.4</w:t>
                  </w:r>
                </w:p>
              </w:tc>
              <w:tc>
                <w:tcPr>
                  <w:tcW w:w="909" w:type="dxa"/>
                  <w:vAlign w:val="center"/>
                </w:tcPr>
                <w:p>
                  <w:pPr>
                    <w:jc w:val="center"/>
                    <w:rPr>
                      <w:szCs w:val="21"/>
                    </w:rPr>
                  </w:pPr>
                  <w:r>
                    <w:rPr>
                      <w:rFonts w:hint="eastAsia"/>
                      <w:szCs w:val="21"/>
                    </w:rPr>
                    <w:t>2.3</w:t>
                  </w:r>
                </w:p>
              </w:tc>
              <w:tc>
                <w:tcPr>
                  <w:tcW w:w="909" w:type="dxa"/>
                  <w:vAlign w:val="center"/>
                </w:tcPr>
                <w:p>
                  <w:pPr>
                    <w:jc w:val="center"/>
                    <w:rPr>
                      <w:szCs w:val="21"/>
                    </w:rPr>
                  </w:pPr>
                  <w:r>
                    <w:rPr>
                      <w:rFonts w:hint="eastAsia"/>
                      <w:szCs w:val="21"/>
                    </w:rPr>
                    <w:t>1.0L</w:t>
                  </w:r>
                </w:p>
              </w:tc>
              <w:tc>
                <w:tcPr>
                  <w:tcW w:w="910" w:type="dxa"/>
                  <w:vAlign w:val="center"/>
                </w:tcPr>
                <w:p>
                  <w:pPr>
                    <w:jc w:val="center"/>
                    <w:rPr>
                      <w:szCs w:val="21"/>
                    </w:rPr>
                  </w:pPr>
                  <w:r>
                    <w:rPr>
                      <w:rFonts w:hint="eastAsia"/>
                      <w:szCs w:val="21"/>
                    </w:rPr>
                    <w:t>2.0</w:t>
                  </w:r>
                </w:p>
              </w:tc>
              <w:tc>
                <w:tcPr>
                  <w:tcW w:w="603" w:type="dxa"/>
                  <w:vAlign w:val="center"/>
                </w:tcPr>
                <w:p>
                  <w:pPr>
                    <w:jc w:val="center"/>
                    <w:rPr>
                      <w:szCs w:val="21"/>
                    </w:rPr>
                  </w:pPr>
                </w:p>
              </w:tc>
              <w:tc>
                <w:tcPr>
                  <w:tcW w:w="604" w:type="dxa"/>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continue"/>
                  <w:vAlign w:val="center"/>
                </w:tcPr>
                <w:p>
                  <w:pPr>
                    <w:jc w:val="center"/>
                    <w:rPr>
                      <w:szCs w:val="21"/>
                    </w:rPr>
                  </w:pPr>
                </w:p>
              </w:tc>
              <w:tc>
                <w:tcPr>
                  <w:tcW w:w="1125" w:type="dxa"/>
                  <w:vAlign w:val="center"/>
                </w:tcPr>
                <w:p>
                  <w:pPr>
                    <w:jc w:val="center"/>
                  </w:pPr>
                  <w:r>
                    <w:t>排放速率</w:t>
                  </w:r>
                </w:p>
              </w:tc>
              <w:tc>
                <w:tcPr>
                  <w:tcW w:w="909" w:type="dxa"/>
                  <w:vAlign w:val="center"/>
                </w:tcPr>
                <w:p>
                  <w:pPr>
                    <w:jc w:val="center"/>
                    <w:rPr>
                      <w:szCs w:val="21"/>
                    </w:rPr>
                  </w:pPr>
                  <w:r>
                    <w:rPr>
                      <w:rFonts w:hint="eastAsia"/>
                      <w:szCs w:val="21"/>
                    </w:rPr>
                    <w:t>1.9×10</w:t>
                  </w:r>
                  <w:r>
                    <w:rPr>
                      <w:rFonts w:hint="eastAsia"/>
                      <w:szCs w:val="21"/>
                      <w:vertAlign w:val="superscript"/>
                    </w:rPr>
                    <w:t>-3</w:t>
                  </w:r>
                </w:p>
              </w:tc>
              <w:tc>
                <w:tcPr>
                  <w:tcW w:w="909" w:type="dxa"/>
                  <w:vAlign w:val="center"/>
                </w:tcPr>
                <w:p>
                  <w:pPr>
                    <w:jc w:val="center"/>
                    <w:rPr>
                      <w:szCs w:val="21"/>
                    </w:rPr>
                  </w:pPr>
                  <w:r>
                    <w:rPr>
                      <w:rFonts w:hint="eastAsia"/>
                      <w:szCs w:val="21"/>
                    </w:rPr>
                    <w:t>1.8×10</w:t>
                  </w:r>
                  <w:r>
                    <w:rPr>
                      <w:rFonts w:hint="eastAsia"/>
                      <w:szCs w:val="21"/>
                      <w:vertAlign w:val="superscript"/>
                    </w:rPr>
                    <w:t>-3</w:t>
                  </w:r>
                </w:p>
              </w:tc>
              <w:tc>
                <w:tcPr>
                  <w:tcW w:w="909" w:type="dxa"/>
                  <w:vAlign w:val="center"/>
                </w:tcPr>
                <w:p>
                  <w:pPr>
                    <w:jc w:val="center"/>
                    <w:rPr>
                      <w:szCs w:val="21"/>
                    </w:rPr>
                  </w:pPr>
                  <w:r>
                    <w:rPr>
                      <w:rFonts w:hint="eastAsia"/>
                      <w:szCs w:val="21"/>
                    </w:rPr>
                    <w:t>5.3×10</w:t>
                  </w:r>
                  <w:r>
                    <w:rPr>
                      <w:rFonts w:hint="eastAsia"/>
                      <w:szCs w:val="21"/>
                      <w:vertAlign w:val="superscript"/>
                    </w:rPr>
                    <w:t>-3</w:t>
                  </w:r>
                </w:p>
              </w:tc>
              <w:tc>
                <w:tcPr>
                  <w:tcW w:w="909" w:type="dxa"/>
                  <w:vAlign w:val="center"/>
                </w:tcPr>
                <w:p>
                  <w:pPr>
                    <w:jc w:val="center"/>
                    <w:rPr>
                      <w:szCs w:val="21"/>
                    </w:rPr>
                  </w:pPr>
                  <w:r>
                    <w:rPr>
                      <w:rFonts w:hint="eastAsia"/>
                      <w:szCs w:val="21"/>
                    </w:rPr>
                    <w:t>8.3×10</w:t>
                  </w:r>
                  <w:r>
                    <w:rPr>
                      <w:rFonts w:hint="eastAsia"/>
                      <w:szCs w:val="21"/>
                      <w:vertAlign w:val="superscript"/>
                    </w:rPr>
                    <w:t>-3</w:t>
                  </w:r>
                </w:p>
              </w:tc>
              <w:tc>
                <w:tcPr>
                  <w:tcW w:w="909" w:type="dxa"/>
                  <w:vAlign w:val="center"/>
                </w:tcPr>
                <w:p>
                  <w:pPr>
                    <w:jc w:val="center"/>
                    <w:rPr>
                      <w:szCs w:val="21"/>
                    </w:rPr>
                  </w:pPr>
                  <w:r>
                    <w:rPr>
                      <w:rFonts w:hint="eastAsia"/>
                      <w:szCs w:val="21"/>
                    </w:rPr>
                    <w:t>1.8×10</w:t>
                  </w:r>
                  <w:r>
                    <w:rPr>
                      <w:rFonts w:hint="eastAsia"/>
                      <w:szCs w:val="21"/>
                      <w:vertAlign w:val="superscript"/>
                    </w:rPr>
                    <w:t>-3</w:t>
                  </w:r>
                </w:p>
              </w:tc>
              <w:tc>
                <w:tcPr>
                  <w:tcW w:w="910" w:type="dxa"/>
                  <w:vAlign w:val="center"/>
                </w:tcPr>
                <w:p>
                  <w:pPr>
                    <w:jc w:val="center"/>
                    <w:rPr>
                      <w:szCs w:val="21"/>
                    </w:rPr>
                  </w:pPr>
                  <w:r>
                    <w:rPr>
                      <w:rFonts w:hint="eastAsia"/>
                      <w:szCs w:val="21"/>
                    </w:rPr>
                    <w:t>7.5×10</w:t>
                  </w:r>
                  <w:r>
                    <w:rPr>
                      <w:rFonts w:hint="eastAsia"/>
                      <w:szCs w:val="21"/>
                      <w:vertAlign w:val="superscript"/>
                    </w:rPr>
                    <w:t>-3</w:t>
                  </w:r>
                </w:p>
              </w:tc>
              <w:tc>
                <w:tcPr>
                  <w:tcW w:w="603" w:type="dxa"/>
                  <w:vAlign w:val="center"/>
                </w:tcPr>
                <w:p>
                  <w:pPr>
                    <w:jc w:val="center"/>
                    <w:rPr>
                      <w:szCs w:val="21"/>
                    </w:rPr>
                  </w:pPr>
                </w:p>
              </w:tc>
              <w:tc>
                <w:tcPr>
                  <w:tcW w:w="604" w:type="dxa"/>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restart"/>
                  <w:vAlign w:val="center"/>
                </w:tcPr>
                <w:p>
                  <w:pPr>
                    <w:adjustRightInd w:val="0"/>
                    <w:snapToGrid w:val="0"/>
                    <w:jc w:val="center"/>
                    <w:rPr>
                      <w:szCs w:val="21"/>
                    </w:rPr>
                  </w:pPr>
                  <w:r>
                    <w:rPr>
                      <w:rFonts w:hint="eastAsia" w:ascii="宋体" w:hAnsi="宋体" w:cs="宋体"/>
                      <w:kern w:val="0"/>
                      <w:sz w:val="22"/>
                      <w:szCs w:val="21"/>
                    </w:rPr>
                    <w:t>炸酸工序</w:t>
                  </w:r>
                  <w:r>
                    <w:rPr>
                      <w:kern w:val="0"/>
                      <w:sz w:val="22"/>
                      <w:szCs w:val="21"/>
                    </w:rPr>
                    <w:t>废气处理后采样口</w:t>
                  </w:r>
                </w:p>
              </w:tc>
              <w:tc>
                <w:tcPr>
                  <w:tcW w:w="1909" w:type="dxa"/>
                  <w:gridSpan w:val="2"/>
                  <w:vAlign w:val="center"/>
                </w:tcPr>
                <w:p>
                  <w:pPr>
                    <w:jc w:val="center"/>
                  </w:pPr>
                  <w:r>
                    <w:t>标况流量 (m</w:t>
                  </w:r>
                  <w:r>
                    <w:rPr>
                      <w:vertAlign w:val="superscript"/>
                    </w:rPr>
                    <w:t>3</w:t>
                  </w:r>
                  <w:r>
                    <w:t>/h)</w:t>
                  </w:r>
                </w:p>
              </w:tc>
              <w:tc>
                <w:tcPr>
                  <w:tcW w:w="909" w:type="dxa"/>
                  <w:vAlign w:val="center"/>
                </w:tcPr>
                <w:p>
                  <w:pPr>
                    <w:jc w:val="center"/>
                    <w:rPr>
                      <w:szCs w:val="21"/>
                    </w:rPr>
                  </w:pPr>
                  <w:r>
                    <w:rPr>
                      <w:rFonts w:hint="eastAsia"/>
                      <w:szCs w:val="21"/>
                    </w:rPr>
                    <w:t>3222</w:t>
                  </w:r>
                </w:p>
              </w:tc>
              <w:tc>
                <w:tcPr>
                  <w:tcW w:w="909" w:type="dxa"/>
                  <w:vAlign w:val="center"/>
                </w:tcPr>
                <w:p>
                  <w:pPr>
                    <w:jc w:val="center"/>
                    <w:rPr>
                      <w:szCs w:val="21"/>
                    </w:rPr>
                  </w:pPr>
                  <w:r>
                    <w:rPr>
                      <w:rFonts w:hint="eastAsia"/>
                      <w:szCs w:val="21"/>
                    </w:rPr>
                    <w:t>3232</w:t>
                  </w:r>
                </w:p>
              </w:tc>
              <w:tc>
                <w:tcPr>
                  <w:tcW w:w="909" w:type="dxa"/>
                  <w:vAlign w:val="center"/>
                </w:tcPr>
                <w:p>
                  <w:pPr>
                    <w:jc w:val="center"/>
                    <w:rPr>
                      <w:szCs w:val="21"/>
                    </w:rPr>
                  </w:pPr>
                  <w:r>
                    <w:rPr>
                      <w:rFonts w:hint="eastAsia"/>
                      <w:szCs w:val="21"/>
                    </w:rPr>
                    <w:t>3233</w:t>
                  </w:r>
                </w:p>
              </w:tc>
              <w:tc>
                <w:tcPr>
                  <w:tcW w:w="909" w:type="dxa"/>
                  <w:vAlign w:val="center"/>
                </w:tcPr>
                <w:p>
                  <w:pPr>
                    <w:jc w:val="center"/>
                    <w:rPr>
                      <w:szCs w:val="21"/>
                    </w:rPr>
                  </w:pPr>
                  <w:r>
                    <w:rPr>
                      <w:rFonts w:hint="eastAsia"/>
                      <w:szCs w:val="21"/>
                    </w:rPr>
                    <w:t>3286</w:t>
                  </w:r>
                </w:p>
              </w:tc>
              <w:tc>
                <w:tcPr>
                  <w:tcW w:w="909" w:type="dxa"/>
                  <w:vAlign w:val="center"/>
                </w:tcPr>
                <w:p>
                  <w:pPr>
                    <w:jc w:val="center"/>
                    <w:rPr>
                      <w:szCs w:val="21"/>
                    </w:rPr>
                  </w:pPr>
                  <w:r>
                    <w:rPr>
                      <w:rFonts w:hint="eastAsia"/>
                      <w:szCs w:val="21"/>
                    </w:rPr>
                    <w:t>3293</w:t>
                  </w:r>
                </w:p>
              </w:tc>
              <w:tc>
                <w:tcPr>
                  <w:tcW w:w="910" w:type="dxa"/>
                  <w:vAlign w:val="center"/>
                </w:tcPr>
                <w:p>
                  <w:pPr>
                    <w:jc w:val="center"/>
                    <w:rPr>
                      <w:szCs w:val="21"/>
                    </w:rPr>
                  </w:pPr>
                  <w:r>
                    <w:rPr>
                      <w:rFonts w:hint="eastAsia"/>
                      <w:szCs w:val="21"/>
                    </w:rPr>
                    <w:t>3307</w:t>
                  </w:r>
                </w:p>
              </w:tc>
              <w:tc>
                <w:tcPr>
                  <w:tcW w:w="603" w:type="dxa"/>
                  <w:vAlign w:val="center"/>
                </w:tcPr>
                <w:p>
                  <w:pPr>
                    <w:jc w:val="center"/>
                    <w:rPr>
                      <w:szCs w:val="21"/>
                    </w:rPr>
                  </w:pPr>
                  <w:r>
                    <w:rPr>
                      <w:rFonts w:hint="eastAsia"/>
                      <w:szCs w:val="21"/>
                    </w:rPr>
                    <w:t>/</w:t>
                  </w:r>
                </w:p>
              </w:tc>
              <w:tc>
                <w:tcPr>
                  <w:tcW w:w="604" w:type="dxa"/>
                  <w:vAlign w:val="center"/>
                </w:tcPr>
                <w:p>
                  <w:pPr>
                    <w:jc w:val="center"/>
                    <w:rPr>
                      <w:szCs w:val="21"/>
                    </w:rPr>
                  </w:pPr>
                  <w:r>
                    <w:rPr>
                      <w:rFonts w:hint="eastAsia"/>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616" w:hRule="atLeast"/>
                <w:jc w:val="center"/>
              </w:trPr>
              <w:tc>
                <w:tcPr>
                  <w:tcW w:w="638" w:type="dxa"/>
                  <w:vMerge w:val="continue"/>
                  <w:vAlign w:val="center"/>
                </w:tcPr>
                <w:p>
                  <w:pPr>
                    <w:adjustRightInd w:val="0"/>
                    <w:snapToGrid w:val="0"/>
                    <w:jc w:val="center"/>
                    <w:rPr>
                      <w:szCs w:val="21"/>
                    </w:rPr>
                  </w:pPr>
                </w:p>
              </w:tc>
              <w:tc>
                <w:tcPr>
                  <w:tcW w:w="784" w:type="dxa"/>
                  <w:vMerge w:val="restart"/>
                  <w:vAlign w:val="center"/>
                </w:tcPr>
                <w:p>
                  <w:pPr>
                    <w:jc w:val="center"/>
                    <w:rPr>
                      <w:szCs w:val="21"/>
                    </w:rPr>
                  </w:pPr>
                  <w:r>
                    <w:rPr>
                      <w:kern w:val="0"/>
                      <w:sz w:val="22"/>
                      <w:szCs w:val="21"/>
                    </w:rPr>
                    <w:t>硫酸雾</w:t>
                  </w:r>
                </w:p>
              </w:tc>
              <w:tc>
                <w:tcPr>
                  <w:tcW w:w="1125" w:type="dxa"/>
                  <w:vAlign w:val="center"/>
                </w:tcPr>
                <w:p>
                  <w:pPr>
                    <w:jc w:val="center"/>
                  </w:pPr>
                  <w:r>
                    <w:t>排放浓度</w:t>
                  </w:r>
                </w:p>
              </w:tc>
              <w:tc>
                <w:tcPr>
                  <w:tcW w:w="909" w:type="dxa"/>
                  <w:vAlign w:val="center"/>
                </w:tcPr>
                <w:p>
                  <w:pPr>
                    <w:jc w:val="center"/>
                    <w:rPr>
                      <w:szCs w:val="21"/>
                    </w:rPr>
                  </w:pPr>
                  <w:r>
                    <w:rPr>
                      <w:rFonts w:hint="eastAsia"/>
                      <w:szCs w:val="21"/>
                    </w:rPr>
                    <w:t>0.2L</w:t>
                  </w:r>
                </w:p>
              </w:tc>
              <w:tc>
                <w:tcPr>
                  <w:tcW w:w="909" w:type="dxa"/>
                  <w:vAlign w:val="center"/>
                </w:tcPr>
                <w:p>
                  <w:pPr>
                    <w:jc w:val="center"/>
                    <w:rPr>
                      <w:szCs w:val="21"/>
                    </w:rPr>
                  </w:pPr>
                  <w:r>
                    <w:rPr>
                      <w:rFonts w:hint="eastAsia"/>
                      <w:szCs w:val="21"/>
                    </w:rPr>
                    <w:t>0.2L</w:t>
                  </w:r>
                </w:p>
              </w:tc>
              <w:tc>
                <w:tcPr>
                  <w:tcW w:w="909" w:type="dxa"/>
                  <w:vAlign w:val="center"/>
                </w:tcPr>
                <w:p>
                  <w:pPr>
                    <w:jc w:val="center"/>
                    <w:rPr>
                      <w:szCs w:val="21"/>
                    </w:rPr>
                  </w:pPr>
                  <w:r>
                    <w:rPr>
                      <w:rFonts w:hint="eastAsia"/>
                      <w:szCs w:val="21"/>
                    </w:rPr>
                    <w:t>0.2L</w:t>
                  </w:r>
                </w:p>
              </w:tc>
              <w:tc>
                <w:tcPr>
                  <w:tcW w:w="909" w:type="dxa"/>
                  <w:vAlign w:val="center"/>
                </w:tcPr>
                <w:p>
                  <w:pPr>
                    <w:jc w:val="center"/>
                    <w:rPr>
                      <w:szCs w:val="21"/>
                    </w:rPr>
                  </w:pPr>
                  <w:r>
                    <w:rPr>
                      <w:rFonts w:hint="eastAsia"/>
                      <w:szCs w:val="21"/>
                    </w:rPr>
                    <w:t>0.24</w:t>
                  </w:r>
                </w:p>
              </w:tc>
              <w:tc>
                <w:tcPr>
                  <w:tcW w:w="909" w:type="dxa"/>
                  <w:vAlign w:val="center"/>
                </w:tcPr>
                <w:p>
                  <w:pPr>
                    <w:jc w:val="center"/>
                    <w:rPr>
                      <w:szCs w:val="21"/>
                    </w:rPr>
                  </w:pPr>
                  <w:r>
                    <w:rPr>
                      <w:rFonts w:hint="eastAsia"/>
                      <w:szCs w:val="21"/>
                    </w:rPr>
                    <w:t>0.2L</w:t>
                  </w:r>
                </w:p>
              </w:tc>
              <w:tc>
                <w:tcPr>
                  <w:tcW w:w="910" w:type="dxa"/>
                  <w:vAlign w:val="center"/>
                </w:tcPr>
                <w:p>
                  <w:pPr>
                    <w:jc w:val="center"/>
                    <w:rPr>
                      <w:szCs w:val="21"/>
                    </w:rPr>
                  </w:pPr>
                  <w:r>
                    <w:rPr>
                      <w:rFonts w:hint="eastAsia"/>
                      <w:szCs w:val="21"/>
                    </w:rPr>
                    <w:t>0.2L</w:t>
                  </w:r>
                </w:p>
              </w:tc>
              <w:tc>
                <w:tcPr>
                  <w:tcW w:w="603" w:type="dxa"/>
                  <w:vAlign w:val="center"/>
                </w:tcPr>
                <w:p>
                  <w:pPr>
                    <w:jc w:val="center"/>
                    <w:rPr>
                      <w:szCs w:val="21"/>
                    </w:rPr>
                  </w:pPr>
                  <w:r>
                    <w:rPr>
                      <w:rFonts w:hint="eastAsia"/>
                      <w:szCs w:val="21"/>
                    </w:rPr>
                    <w:t>35</w:t>
                  </w:r>
                </w:p>
              </w:tc>
              <w:tc>
                <w:tcPr>
                  <w:tcW w:w="604" w:type="dxa"/>
                  <w:vAlign w:val="center"/>
                </w:tcPr>
                <w:p>
                  <w:pPr>
                    <w:jc w:val="center"/>
                    <w:rPr>
                      <w:szCs w:val="21"/>
                    </w:rPr>
                  </w:pPr>
                  <w:r>
                    <w:rPr>
                      <w:rFonts w:hint="eastAsia"/>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continue"/>
                  <w:vAlign w:val="center"/>
                </w:tcPr>
                <w:p>
                  <w:pPr>
                    <w:jc w:val="center"/>
                    <w:rPr>
                      <w:szCs w:val="21"/>
                    </w:rPr>
                  </w:pPr>
                </w:p>
              </w:tc>
              <w:tc>
                <w:tcPr>
                  <w:tcW w:w="1125" w:type="dxa"/>
                  <w:vAlign w:val="center"/>
                </w:tcPr>
                <w:p>
                  <w:pPr>
                    <w:jc w:val="center"/>
                  </w:pPr>
                  <w:r>
                    <w:t>排放速率</w:t>
                  </w:r>
                </w:p>
              </w:tc>
              <w:tc>
                <w:tcPr>
                  <w:tcW w:w="909" w:type="dxa"/>
                  <w:vAlign w:val="center"/>
                </w:tcPr>
                <w:p>
                  <w:pPr>
                    <w:jc w:val="center"/>
                    <w:rPr>
                      <w:szCs w:val="21"/>
                    </w:rPr>
                  </w:pPr>
                  <w:r>
                    <w:rPr>
                      <w:rFonts w:hint="eastAsia"/>
                      <w:szCs w:val="21"/>
                    </w:rPr>
                    <w:t>3.2×10</w:t>
                  </w:r>
                  <w:r>
                    <w:rPr>
                      <w:rFonts w:hint="eastAsia"/>
                      <w:szCs w:val="21"/>
                      <w:vertAlign w:val="superscript"/>
                    </w:rPr>
                    <w:t>-4</w:t>
                  </w:r>
                </w:p>
              </w:tc>
              <w:tc>
                <w:tcPr>
                  <w:tcW w:w="909" w:type="dxa"/>
                  <w:vAlign w:val="center"/>
                </w:tcPr>
                <w:p>
                  <w:pPr>
                    <w:jc w:val="center"/>
                    <w:rPr>
                      <w:szCs w:val="21"/>
                    </w:rPr>
                  </w:pPr>
                  <w:r>
                    <w:rPr>
                      <w:rFonts w:hint="eastAsia"/>
                      <w:szCs w:val="21"/>
                    </w:rPr>
                    <w:t>3.2×10</w:t>
                  </w:r>
                  <w:r>
                    <w:rPr>
                      <w:rFonts w:hint="eastAsia"/>
                      <w:szCs w:val="21"/>
                      <w:vertAlign w:val="superscript"/>
                    </w:rPr>
                    <w:t>-4</w:t>
                  </w:r>
                </w:p>
              </w:tc>
              <w:tc>
                <w:tcPr>
                  <w:tcW w:w="909" w:type="dxa"/>
                  <w:vAlign w:val="center"/>
                </w:tcPr>
                <w:p>
                  <w:pPr>
                    <w:jc w:val="center"/>
                    <w:rPr>
                      <w:szCs w:val="21"/>
                    </w:rPr>
                  </w:pPr>
                  <w:r>
                    <w:rPr>
                      <w:rFonts w:hint="eastAsia"/>
                      <w:szCs w:val="21"/>
                    </w:rPr>
                    <w:t>3.2×10</w:t>
                  </w:r>
                  <w:r>
                    <w:rPr>
                      <w:rFonts w:hint="eastAsia"/>
                      <w:szCs w:val="21"/>
                      <w:vertAlign w:val="superscript"/>
                    </w:rPr>
                    <w:t>-4</w:t>
                  </w:r>
                </w:p>
              </w:tc>
              <w:tc>
                <w:tcPr>
                  <w:tcW w:w="909" w:type="dxa"/>
                  <w:vAlign w:val="center"/>
                </w:tcPr>
                <w:p>
                  <w:pPr>
                    <w:jc w:val="center"/>
                    <w:rPr>
                      <w:szCs w:val="21"/>
                    </w:rPr>
                  </w:pPr>
                  <w:r>
                    <w:rPr>
                      <w:rFonts w:hint="eastAsia"/>
                      <w:szCs w:val="21"/>
                    </w:rPr>
                    <w:t>7.9×10</w:t>
                  </w:r>
                  <w:r>
                    <w:rPr>
                      <w:rFonts w:hint="eastAsia"/>
                      <w:szCs w:val="21"/>
                      <w:vertAlign w:val="superscript"/>
                    </w:rPr>
                    <w:t>-4</w:t>
                  </w:r>
                </w:p>
              </w:tc>
              <w:tc>
                <w:tcPr>
                  <w:tcW w:w="909" w:type="dxa"/>
                  <w:vAlign w:val="center"/>
                </w:tcPr>
                <w:p>
                  <w:pPr>
                    <w:jc w:val="center"/>
                    <w:rPr>
                      <w:szCs w:val="21"/>
                    </w:rPr>
                  </w:pPr>
                  <w:r>
                    <w:rPr>
                      <w:rFonts w:hint="eastAsia"/>
                      <w:szCs w:val="21"/>
                    </w:rPr>
                    <w:t>3.3×10</w:t>
                  </w:r>
                  <w:r>
                    <w:rPr>
                      <w:rFonts w:hint="eastAsia"/>
                      <w:szCs w:val="21"/>
                      <w:vertAlign w:val="superscript"/>
                    </w:rPr>
                    <w:t>-4</w:t>
                  </w:r>
                </w:p>
              </w:tc>
              <w:tc>
                <w:tcPr>
                  <w:tcW w:w="910" w:type="dxa"/>
                  <w:vAlign w:val="center"/>
                </w:tcPr>
                <w:p>
                  <w:pPr>
                    <w:jc w:val="center"/>
                    <w:rPr>
                      <w:szCs w:val="21"/>
                    </w:rPr>
                  </w:pPr>
                  <w:r>
                    <w:rPr>
                      <w:rFonts w:hint="eastAsia"/>
                      <w:szCs w:val="21"/>
                    </w:rPr>
                    <w:t>3.3×10</w:t>
                  </w:r>
                  <w:r>
                    <w:rPr>
                      <w:rFonts w:hint="eastAsia"/>
                      <w:szCs w:val="21"/>
                      <w:vertAlign w:val="superscript"/>
                    </w:rPr>
                    <w:t>-4</w:t>
                  </w:r>
                </w:p>
              </w:tc>
              <w:tc>
                <w:tcPr>
                  <w:tcW w:w="603" w:type="dxa"/>
                  <w:vAlign w:val="center"/>
                </w:tcPr>
                <w:p>
                  <w:pPr>
                    <w:jc w:val="center"/>
                    <w:rPr>
                      <w:szCs w:val="21"/>
                    </w:rPr>
                  </w:pPr>
                  <w:r>
                    <w:rPr>
                      <w:rFonts w:hint="eastAsia"/>
                      <w:szCs w:val="21"/>
                    </w:rPr>
                    <w:t>1.8</w:t>
                  </w:r>
                </w:p>
              </w:tc>
              <w:tc>
                <w:tcPr>
                  <w:tcW w:w="604"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restart"/>
                  <w:vAlign w:val="center"/>
                </w:tcPr>
                <w:p>
                  <w:pPr>
                    <w:jc w:val="center"/>
                    <w:rPr>
                      <w:szCs w:val="21"/>
                    </w:rPr>
                  </w:pPr>
                  <w:r>
                    <w:rPr>
                      <w:szCs w:val="21"/>
                    </w:rPr>
                    <w:t>氯化氢</w:t>
                  </w:r>
                </w:p>
              </w:tc>
              <w:tc>
                <w:tcPr>
                  <w:tcW w:w="1125" w:type="dxa"/>
                  <w:vAlign w:val="center"/>
                </w:tcPr>
                <w:p>
                  <w:pPr>
                    <w:jc w:val="center"/>
                  </w:pPr>
                  <w:r>
                    <w:t>排放浓度</w:t>
                  </w:r>
                </w:p>
              </w:tc>
              <w:tc>
                <w:tcPr>
                  <w:tcW w:w="909" w:type="dxa"/>
                  <w:vAlign w:val="center"/>
                </w:tcPr>
                <w:p>
                  <w:pPr>
                    <w:jc w:val="center"/>
                    <w:rPr>
                      <w:szCs w:val="21"/>
                    </w:rPr>
                  </w:pPr>
                  <w:r>
                    <w:rPr>
                      <w:rFonts w:hint="eastAsia"/>
                      <w:szCs w:val="21"/>
                    </w:rPr>
                    <w:t>0.2L</w:t>
                  </w:r>
                </w:p>
              </w:tc>
              <w:tc>
                <w:tcPr>
                  <w:tcW w:w="909" w:type="dxa"/>
                  <w:vAlign w:val="center"/>
                </w:tcPr>
                <w:p>
                  <w:pPr>
                    <w:jc w:val="center"/>
                    <w:rPr>
                      <w:szCs w:val="21"/>
                    </w:rPr>
                  </w:pPr>
                  <w:r>
                    <w:rPr>
                      <w:rFonts w:hint="eastAsia"/>
                      <w:szCs w:val="21"/>
                    </w:rPr>
                    <w:t>0.67</w:t>
                  </w:r>
                </w:p>
              </w:tc>
              <w:tc>
                <w:tcPr>
                  <w:tcW w:w="909" w:type="dxa"/>
                  <w:vAlign w:val="center"/>
                </w:tcPr>
                <w:p>
                  <w:pPr>
                    <w:jc w:val="center"/>
                    <w:rPr>
                      <w:szCs w:val="21"/>
                    </w:rPr>
                  </w:pPr>
                  <w:r>
                    <w:rPr>
                      <w:rFonts w:hint="eastAsia"/>
                      <w:szCs w:val="21"/>
                    </w:rPr>
                    <w:t>0.43</w:t>
                  </w:r>
                </w:p>
              </w:tc>
              <w:tc>
                <w:tcPr>
                  <w:tcW w:w="909" w:type="dxa"/>
                  <w:vAlign w:val="center"/>
                </w:tcPr>
                <w:p>
                  <w:pPr>
                    <w:jc w:val="center"/>
                    <w:rPr>
                      <w:szCs w:val="21"/>
                    </w:rPr>
                  </w:pPr>
                  <w:r>
                    <w:rPr>
                      <w:rFonts w:hint="eastAsia"/>
                      <w:szCs w:val="21"/>
                    </w:rPr>
                    <w:t>0.62</w:t>
                  </w:r>
                </w:p>
              </w:tc>
              <w:tc>
                <w:tcPr>
                  <w:tcW w:w="909" w:type="dxa"/>
                  <w:vAlign w:val="center"/>
                </w:tcPr>
                <w:p>
                  <w:pPr>
                    <w:jc w:val="center"/>
                    <w:rPr>
                      <w:szCs w:val="21"/>
                    </w:rPr>
                  </w:pPr>
                  <w:r>
                    <w:rPr>
                      <w:rFonts w:hint="eastAsia"/>
                      <w:szCs w:val="21"/>
                    </w:rPr>
                    <w:t>0.2L</w:t>
                  </w:r>
                </w:p>
              </w:tc>
              <w:tc>
                <w:tcPr>
                  <w:tcW w:w="910" w:type="dxa"/>
                  <w:vAlign w:val="center"/>
                </w:tcPr>
                <w:p>
                  <w:pPr>
                    <w:jc w:val="center"/>
                    <w:rPr>
                      <w:szCs w:val="21"/>
                    </w:rPr>
                  </w:pPr>
                  <w:r>
                    <w:rPr>
                      <w:rFonts w:hint="eastAsia"/>
                      <w:szCs w:val="21"/>
                    </w:rPr>
                    <w:t>0.2L</w:t>
                  </w:r>
                </w:p>
              </w:tc>
              <w:tc>
                <w:tcPr>
                  <w:tcW w:w="603" w:type="dxa"/>
                  <w:vAlign w:val="center"/>
                </w:tcPr>
                <w:p>
                  <w:pPr>
                    <w:jc w:val="center"/>
                    <w:rPr>
                      <w:szCs w:val="21"/>
                    </w:rPr>
                  </w:pPr>
                  <w:r>
                    <w:rPr>
                      <w:rFonts w:hint="eastAsia"/>
                      <w:szCs w:val="21"/>
                    </w:rPr>
                    <w:t>100</w:t>
                  </w:r>
                </w:p>
              </w:tc>
              <w:tc>
                <w:tcPr>
                  <w:tcW w:w="604" w:type="dxa"/>
                  <w:vAlign w:val="center"/>
                </w:tcPr>
                <w:p>
                  <w:pPr>
                    <w:jc w:val="center"/>
                    <w:rPr>
                      <w:szCs w:val="21"/>
                    </w:rPr>
                  </w:pPr>
                  <w:r>
                    <w:rPr>
                      <w:rFonts w:hint="eastAsia"/>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continue"/>
                  <w:vAlign w:val="center"/>
                </w:tcPr>
                <w:p>
                  <w:pPr>
                    <w:jc w:val="center"/>
                    <w:rPr>
                      <w:szCs w:val="21"/>
                    </w:rPr>
                  </w:pPr>
                </w:p>
              </w:tc>
              <w:tc>
                <w:tcPr>
                  <w:tcW w:w="1125" w:type="dxa"/>
                  <w:vAlign w:val="center"/>
                </w:tcPr>
                <w:p>
                  <w:pPr>
                    <w:jc w:val="center"/>
                  </w:pPr>
                  <w:r>
                    <w:t>排放速率</w:t>
                  </w:r>
                </w:p>
              </w:tc>
              <w:tc>
                <w:tcPr>
                  <w:tcW w:w="909" w:type="dxa"/>
                  <w:vAlign w:val="center"/>
                </w:tcPr>
                <w:p>
                  <w:pPr>
                    <w:jc w:val="center"/>
                    <w:rPr>
                      <w:szCs w:val="21"/>
                    </w:rPr>
                  </w:pPr>
                  <w:r>
                    <w:rPr>
                      <w:rFonts w:hint="eastAsia"/>
                      <w:szCs w:val="21"/>
                    </w:rPr>
                    <w:t>3.2×10</w:t>
                  </w:r>
                  <w:r>
                    <w:rPr>
                      <w:rFonts w:hint="eastAsia"/>
                      <w:szCs w:val="21"/>
                      <w:vertAlign w:val="superscript"/>
                    </w:rPr>
                    <w:t>-4</w:t>
                  </w:r>
                </w:p>
              </w:tc>
              <w:tc>
                <w:tcPr>
                  <w:tcW w:w="909" w:type="dxa"/>
                  <w:vAlign w:val="center"/>
                </w:tcPr>
                <w:p>
                  <w:pPr>
                    <w:jc w:val="center"/>
                    <w:rPr>
                      <w:szCs w:val="21"/>
                    </w:rPr>
                  </w:pPr>
                  <w:r>
                    <w:rPr>
                      <w:rFonts w:hint="eastAsia"/>
                      <w:szCs w:val="21"/>
                    </w:rPr>
                    <w:t>3.2×10</w:t>
                  </w:r>
                  <w:r>
                    <w:rPr>
                      <w:rFonts w:hint="eastAsia"/>
                      <w:szCs w:val="21"/>
                      <w:vertAlign w:val="superscript"/>
                    </w:rPr>
                    <w:t>-3</w:t>
                  </w:r>
                </w:p>
              </w:tc>
              <w:tc>
                <w:tcPr>
                  <w:tcW w:w="909" w:type="dxa"/>
                  <w:vAlign w:val="center"/>
                </w:tcPr>
                <w:p>
                  <w:pPr>
                    <w:jc w:val="center"/>
                    <w:rPr>
                      <w:szCs w:val="21"/>
                    </w:rPr>
                  </w:pPr>
                  <w:r>
                    <w:rPr>
                      <w:rFonts w:hint="eastAsia"/>
                      <w:szCs w:val="21"/>
                    </w:rPr>
                    <w:t>1.4×10</w:t>
                  </w:r>
                  <w:r>
                    <w:rPr>
                      <w:rFonts w:hint="eastAsia"/>
                      <w:szCs w:val="21"/>
                      <w:vertAlign w:val="superscript"/>
                    </w:rPr>
                    <w:t>-3</w:t>
                  </w:r>
                </w:p>
              </w:tc>
              <w:tc>
                <w:tcPr>
                  <w:tcW w:w="909" w:type="dxa"/>
                  <w:vAlign w:val="center"/>
                </w:tcPr>
                <w:p>
                  <w:pPr>
                    <w:jc w:val="center"/>
                    <w:rPr>
                      <w:szCs w:val="21"/>
                    </w:rPr>
                  </w:pPr>
                  <w:r>
                    <w:rPr>
                      <w:rFonts w:hint="eastAsia"/>
                      <w:szCs w:val="21"/>
                    </w:rPr>
                    <w:t>2.0×10</w:t>
                  </w:r>
                  <w:r>
                    <w:rPr>
                      <w:rFonts w:hint="eastAsia"/>
                      <w:szCs w:val="21"/>
                      <w:vertAlign w:val="superscript"/>
                    </w:rPr>
                    <w:t>-3</w:t>
                  </w:r>
                </w:p>
              </w:tc>
              <w:tc>
                <w:tcPr>
                  <w:tcW w:w="909" w:type="dxa"/>
                  <w:vAlign w:val="center"/>
                </w:tcPr>
                <w:p>
                  <w:pPr>
                    <w:jc w:val="center"/>
                    <w:rPr>
                      <w:szCs w:val="21"/>
                    </w:rPr>
                  </w:pPr>
                  <w:r>
                    <w:rPr>
                      <w:rFonts w:hint="eastAsia"/>
                      <w:szCs w:val="21"/>
                    </w:rPr>
                    <w:t>3.3×10</w:t>
                  </w:r>
                  <w:r>
                    <w:rPr>
                      <w:rFonts w:hint="eastAsia"/>
                      <w:szCs w:val="21"/>
                      <w:vertAlign w:val="superscript"/>
                    </w:rPr>
                    <w:t>-4</w:t>
                  </w:r>
                </w:p>
              </w:tc>
              <w:tc>
                <w:tcPr>
                  <w:tcW w:w="910" w:type="dxa"/>
                  <w:vAlign w:val="center"/>
                </w:tcPr>
                <w:p>
                  <w:pPr>
                    <w:jc w:val="center"/>
                    <w:rPr>
                      <w:szCs w:val="21"/>
                    </w:rPr>
                  </w:pPr>
                  <w:r>
                    <w:rPr>
                      <w:rFonts w:hint="eastAsia"/>
                      <w:szCs w:val="21"/>
                    </w:rPr>
                    <w:t>3.3×10</w:t>
                  </w:r>
                  <w:r>
                    <w:rPr>
                      <w:rFonts w:hint="eastAsia"/>
                      <w:szCs w:val="21"/>
                      <w:vertAlign w:val="superscript"/>
                    </w:rPr>
                    <w:t>-4</w:t>
                  </w:r>
                </w:p>
              </w:tc>
              <w:tc>
                <w:tcPr>
                  <w:tcW w:w="603" w:type="dxa"/>
                  <w:vAlign w:val="center"/>
                </w:tcPr>
                <w:p>
                  <w:pPr>
                    <w:jc w:val="center"/>
                    <w:rPr>
                      <w:szCs w:val="21"/>
                    </w:rPr>
                  </w:pPr>
                  <w:r>
                    <w:rPr>
                      <w:rFonts w:hint="eastAsia"/>
                      <w:szCs w:val="21"/>
                    </w:rPr>
                    <w:t>0.30</w:t>
                  </w:r>
                </w:p>
              </w:tc>
              <w:tc>
                <w:tcPr>
                  <w:tcW w:w="604" w:type="dxa"/>
                  <w:vAlign w:val="center"/>
                </w:tcPr>
                <w:p>
                  <w:pPr>
                    <w:jc w:val="center"/>
                    <w:rPr>
                      <w:szCs w:val="21"/>
                    </w:rPr>
                  </w:pPr>
                  <w:r>
                    <w:rPr>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restart"/>
                  <w:vAlign w:val="center"/>
                </w:tcPr>
                <w:p>
                  <w:pPr>
                    <w:jc w:val="center"/>
                    <w:rPr>
                      <w:szCs w:val="21"/>
                    </w:rPr>
                  </w:pPr>
                  <w:r>
                    <w:rPr>
                      <w:szCs w:val="21"/>
                    </w:rPr>
                    <w:t>颗粒物</w:t>
                  </w:r>
                </w:p>
              </w:tc>
              <w:tc>
                <w:tcPr>
                  <w:tcW w:w="1125" w:type="dxa"/>
                  <w:vAlign w:val="center"/>
                </w:tcPr>
                <w:p>
                  <w:pPr>
                    <w:jc w:val="center"/>
                  </w:pPr>
                  <w:r>
                    <w:t>排放浓度</w:t>
                  </w:r>
                </w:p>
              </w:tc>
              <w:tc>
                <w:tcPr>
                  <w:tcW w:w="909" w:type="dxa"/>
                  <w:vAlign w:val="center"/>
                </w:tcPr>
                <w:p>
                  <w:pPr>
                    <w:jc w:val="center"/>
                    <w:rPr>
                      <w:szCs w:val="21"/>
                    </w:rPr>
                  </w:pPr>
                  <w:r>
                    <w:rPr>
                      <w:rFonts w:hint="eastAsia"/>
                      <w:szCs w:val="21"/>
                    </w:rPr>
                    <w:t>1.0L</w:t>
                  </w:r>
                </w:p>
              </w:tc>
              <w:tc>
                <w:tcPr>
                  <w:tcW w:w="909" w:type="dxa"/>
                  <w:vAlign w:val="center"/>
                </w:tcPr>
                <w:p>
                  <w:pPr>
                    <w:jc w:val="center"/>
                    <w:rPr>
                      <w:szCs w:val="21"/>
                    </w:rPr>
                  </w:pPr>
                  <w:r>
                    <w:rPr>
                      <w:rFonts w:hint="eastAsia"/>
                      <w:szCs w:val="21"/>
                    </w:rPr>
                    <w:t>1.0L</w:t>
                  </w:r>
                </w:p>
              </w:tc>
              <w:tc>
                <w:tcPr>
                  <w:tcW w:w="909" w:type="dxa"/>
                  <w:vAlign w:val="center"/>
                </w:tcPr>
                <w:p>
                  <w:pPr>
                    <w:jc w:val="center"/>
                    <w:rPr>
                      <w:szCs w:val="21"/>
                    </w:rPr>
                  </w:pPr>
                  <w:r>
                    <w:rPr>
                      <w:rFonts w:hint="eastAsia"/>
                      <w:szCs w:val="21"/>
                    </w:rPr>
                    <w:t>1.0</w:t>
                  </w:r>
                </w:p>
              </w:tc>
              <w:tc>
                <w:tcPr>
                  <w:tcW w:w="909" w:type="dxa"/>
                  <w:vAlign w:val="center"/>
                </w:tcPr>
                <w:p>
                  <w:pPr>
                    <w:jc w:val="center"/>
                    <w:rPr>
                      <w:szCs w:val="21"/>
                    </w:rPr>
                  </w:pPr>
                  <w:r>
                    <w:rPr>
                      <w:rFonts w:hint="eastAsia"/>
                      <w:szCs w:val="21"/>
                    </w:rPr>
                    <w:t>1.0L</w:t>
                  </w:r>
                </w:p>
              </w:tc>
              <w:tc>
                <w:tcPr>
                  <w:tcW w:w="909" w:type="dxa"/>
                  <w:vAlign w:val="center"/>
                </w:tcPr>
                <w:p>
                  <w:pPr>
                    <w:jc w:val="center"/>
                    <w:rPr>
                      <w:szCs w:val="21"/>
                    </w:rPr>
                  </w:pPr>
                  <w:r>
                    <w:rPr>
                      <w:rFonts w:hint="eastAsia"/>
                      <w:szCs w:val="21"/>
                    </w:rPr>
                    <w:t>1.0L</w:t>
                  </w:r>
                </w:p>
              </w:tc>
              <w:tc>
                <w:tcPr>
                  <w:tcW w:w="910" w:type="dxa"/>
                  <w:vAlign w:val="center"/>
                </w:tcPr>
                <w:p>
                  <w:pPr>
                    <w:jc w:val="center"/>
                    <w:rPr>
                      <w:szCs w:val="21"/>
                    </w:rPr>
                  </w:pPr>
                  <w:r>
                    <w:rPr>
                      <w:rFonts w:hint="eastAsia"/>
                      <w:szCs w:val="21"/>
                    </w:rPr>
                    <w:t>1.0L</w:t>
                  </w:r>
                </w:p>
              </w:tc>
              <w:tc>
                <w:tcPr>
                  <w:tcW w:w="603" w:type="dxa"/>
                  <w:vAlign w:val="center"/>
                </w:tcPr>
                <w:p>
                  <w:pPr>
                    <w:jc w:val="center"/>
                    <w:rPr>
                      <w:szCs w:val="21"/>
                    </w:rPr>
                  </w:pPr>
                  <w:r>
                    <w:rPr>
                      <w:rFonts w:hint="eastAsia"/>
                      <w:szCs w:val="21"/>
                    </w:rPr>
                    <w:t>120</w:t>
                  </w:r>
                </w:p>
              </w:tc>
              <w:tc>
                <w:tcPr>
                  <w:tcW w:w="604" w:type="dxa"/>
                  <w:vAlign w:val="center"/>
                </w:tcPr>
                <w:p>
                  <w:pPr>
                    <w:jc w:val="center"/>
                    <w:rPr>
                      <w:szCs w:val="21"/>
                    </w:rPr>
                  </w:pPr>
                  <w:r>
                    <w:rPr>
                      <w:rFonts w:hint="eastAsia"/>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97" w:hRule="atLeast"/>
                <w:jc w:val="center"/>
              </w:trPr>
              <w:tc>
                <w:tcPr>
                  <w:tcW w:w="638" w:type="dxa"/>
                  <w:vMerge w:val="continue"/>
                  <w:vAlign w:val="center"/>
                </w:tcPr>
                <w:p>
                  <w:pPr>
                    <w:adjustRightInd w:val="0"/>
                    <w:snapToGrid w:val="0"/>
                    <w:jc w:val="center"/>
                    <w:rPr>
                      <w:szCs w:val="21"/>
                    </w:rPr>
                  </w:pPr>
                </w:p>
              </w:tc>
              <w:tc>
                <w:tcPr>
                  <w:tcW w:w="784" w:type="dxa"/>
                  <w:vMerge w:val="continue"/>
                  <w:vAlign w:val="center"/>
                </w:tcPr>
                <w:p>
                  <w:pPr>
                    <w:jc w:val="center"/>
                    <w:rPr>
                      <w:szCs w:val="21"/>
                    </w:rPr>
                  </w:pPr>
                </w:p>
              </w:tc>
              <w:tc>
                <w:tcPr>
                  <w:tcW w:w="1125" w:type="dxa"/>
                  <w:vAlign w:val="center"/>
                </w:tcPr>
                <w:p>
                  <w:pPr>
                    <w:jc w:val="center"/>
                  </w:pPr>
                  <w:r>
                    <w:t>排放速率</w:t>
                  </w:r>
                </w:p>
              </w:tc>
              <w:tc>
                <w:tcPr>
                  <w:tcW w:w="909" w:type="dxa"/>
                  <w:vAlign w:val="center"/>
                </w:tcPr>
                <w:p>
                  <w:pPr>
                    <w:jc w:val="center"/>
                    <w:rPr>
                      <w:szCs w:val="21"/>
                    </w:rPr>
                  </w:pPr>
                  <w:r>
                    <w:rPr>
                      <w:rFonts w:hint="eastAsia"/>
                      <w:szCs w:val="21"/>
                    </w:rPr>
                    <w:t>1.6×10</w:t>
                  </w:r>
                  <w:r>
                    <w:rPr>
                      <w:rFonts w:hint="eastAsia"/>
                      <w:szCs w:val="21"/>
                      <w:vertAlign w:val="superscript"/>
                    </w:rPr>
                    <w:t>-3</w:t>
                  </w:r>
                </w:p>
              </w:tc>
              <w:tc>
                <w:tcPr>
                  <w:tcW w:w="909" w:type="dxa"/>
                  <w:vAlign w:val="center"/>
                </w:tcPr>
                <w:p>
                  <w:pPr>
                    <w:jc w:val="center"/>
                    <w:rPr>
                      <w:szCs w:val="21"/>
                    </w:rPr>
                  </w:pPr>
                  <w:r>
                    <w:rPr>
                      <w:rFonts w:hint="eastAsia"/>
                      <w:szCs w:val="21"/>
                    </w:rPr>
                    <w:t>1.6×10</w:t>
                  </w:r>
                  <w:r>
                    <w:rPr>
                      <w:rFonts w:hint="eastAsia"/>
                      <w:szCs w:val="21"/>
                      <w:vertAlign w:val="superscript"/>
                    </w:rPr>
                    <w:t>-3</w:t>
                  </w:r>
                </w:p>
              </w:tc>
              <w:tc>
                <w:tcPr>
                  <w:tcW w:w="909" w:type="dxa"/>
                  <w:vAlign w:val="center"/>
                </w:tcPr>
                <w:p>
                  <w:pPr>
                    <w:jc w:val="center"/>
                    <w:rPr>
                      <w:szCs w:val="21"/>
                    </w:rPr>
                  </w:pPr>
                  <w:r>
                    <w:rPr>
                      <w:rFonts w:hint="eastAsia"/>
                      <w:szCs w:val="21"/>
                    </w:rPr>
                    <w:t>3.3×10</w:t>
                  </w:r>
                  <w:r>
                    <w:rPr>
                      <w:rFonts w:hint="eastAsia"/>
                      <w:szCs w:val="21"/>
                      <w:vertAlign w:val="superscript"/>
                    </w:rPr>
                    <w:t>-3</w:t>
                  </w:r>
                </w:p>
              </w:tc>
              <w:tc>
                <w:tcPr>
                  <w:tcW w:w="909" w:type="dxa"/>
                  <w:vAlign w:val="center"/>
                </w:tcPr>
                <w:p>
                  <w:pPr>
                    <w:jc w:val="center"/>
                    <w:rPr>
                      <w:szCs w:val="21"/>
                    </w:rPr>
                  </w:pPr>
                  <w:r>
                    <w:rPr>
                      <w:rFonts w:hint="eastAsia"/>
                      <w:szCs w:val="21"/>
                    </w:rPr>
                    <w:t>1.6×10</w:t>
                  </w:r>
                  <w:r>
                    <w:rPr>
                      <w:rFonts w:hint="eastAsia"/>
                      <w:szCs w:val="21"/>
                      <w:vertAlign w:val="superscript"/>
                    </w:rPr>
                    <w:t>-3</w:t>
                  </w:r>
                </w:p>
              </w:tc>
              <w:tc>
                <w:tcPr>
                  <w:tcW w:w="909" w:type="dxa"/>
                  <w:vAlign w:val="center"/>
                </w:tcPr>
                <w:p>
                  <w:pPr>
                    <w:jc w:val="center"/>
                    <w:rPr>
                      <w:szCs w:val="21"/>
                    </w:rPr>
                  </w:pPr>
                  <w:r>
                    <w:rPr>
                      <w:rFonts w:hint="eastAsia"/>
                      <w:szCs w:val="21"/>
                    </w:rPr>
                    <w:t>1.6×10</w:t>
                  </w:r>
                  <w:r>
                    <w:rPr>
                      <w:rFonts w:hint="eastAsia"/>
                      <w:szCs w:val="21"/>
                      <w:vertAlign w:val="superscript"/>
                    </w:rPr>
                    <w:t>-3</w:t>
                  </w:r>
                </w:p>
              </w:tc>
              <w:tc>
                <w:tcPr>
                  <w:tcW w:w="910" w:type="dxa"/>
                  <w:vAlign w:val="center"/>
                </w:tcPr>
                <w:p>
                  <w:pPr>
                    <w:jc w:val="center"/>
                    <w:rPr>
                      <w:szCs w:val="21"/>
                    </w:rPr>
                  </w:pPr>
                  <w:r>
                    <w:rPr>
                      <w:rFonts w:hint="eastAsia"/>
                      <w:szCs w:val="21"/>
                    </w:rPr>
                    <w:t>1.7×10</w:t>
                  </w:r>
                  <w:r>
                    <w:rPr>
                      <w:rFonts w:hint="eastAsia"/>
                      <w:szCs w:val="21"/>
                      <w:vertAlign w:val="superscript"/>
                    </w:rPr>
                    <w:t>-3</w:t>
                  </w:r>
                </w:p>
              </w:tc>
              <w:tc>
                <w:tcPr>
                  <w:tcW w:w="603" w:type="dxa"/>
                  <w:vAlign w:val="center"/>
                </w:tcPr>
                <w:p>
                  <w:pPr>
                    <w:jc w:val="center"/>
                    <w:rPr>
                      <w:szCs w:val="21"/>
                    </w:rPr>
                  </w:pPr>
                  <w:r>
                    <w:rPr>
                      <w:rFonts w:hint="eastAsia"/>
                      <w:szCs w:val="21"/>
                    </w:rPr>
                    <w:t>4.0</w:t>
                  </w:r>
                </w:p>
              </w:tc>
              <w:tc>
                <w:tcPr>
                  <w:tcW w:w="604" w:type="dxa"/>
                  <w:vAlign w:val="center"/>
                </w:tcPr>
                <w:p>
                  <w:pPr>
                    <w:jc w:val="center"/>
                    <w:rPr>
                      <w:szCs w:val="21"/>
                    </w:rPr>
                  </w:pPr>
                  <w:r>
                    <w:rPr>
                      <w:szCs w:val="21"/>
                    </w:rPr>
                    <w:t>达标</w:t>
                  </w:r>
                </w:p>
              </w:tc>
            </w:tr>
          </w:tbl>
          <w:p>
            <w:pPr>
              <w:tabs>
                <w:tab w:val="left" w:pos="8063"/>
              </w:tabs>
              <w:ind w:right="420"/>
              <w:rPr>
                <w:szCs w:val="21"/>
              </w:rPr>
            </w:pPr>
            <w:r>
              <w:rPr>
                <w:szCs w:val="21"/>
              </w:rPr>
              <w:t>注： 1、</w:t>
            </w:r>
            <w:r>
              <w:rPr>
                <w:rFonts w:hint="eastAsia"/>
                <w:szCs w:val="21"/>
              </w:rPr>
              <w:t>吊酸</w:t>
            </w:r>
            <w:r>
              <w:rPr>
                <w:szCs w:val="21"/>
              </w:rPr>
              <w:t>废气排气筒高度为</w:t>
            </w:r>
            <w:r>
              <w:rPr>
                <w:rFonts w:hint="eastAsia"/>
                <w:szCs w:val="21"/>
              </w:rPr>
              <w:t>18</w:t>
            </w:r>
            <w:r>
              <w:rPr>
                <w:szCs w:val="21"/>
              </w:rPr>
              <w:t>米</w:t>
            </w:r>
            <w:r>
              <w:rPr>
                <w:rFonts w:hint="eastAsia"/>
                <w:szCs w:val="21"/>
              </w:rPr>
              <w:t>。</w:t>
            </w:r>
          </w:p>
          <w:p>
            <w:pPr>
              <w:autoSpaceDE w:val="0"/>
              <w:autoSpaceDN w:val="0"/>
              <w:spacing w:line="276" w:lineRule="auto"/>
              <w:ind w:firstLine="525" w:firstLineChars="250"/>
              <w:jc w:val="left"/>
              <w:rPr>
                <w:szCs w:val="21"/>
              </w:rPr>
            </w:pPr>
            <w:r>
              <w:rPr>
                <w:kern w:val="0"/>
                <w:szCs w:val="21"/>
              </w:rPr>
              <w:t>2、结果中有“L”表示未检出，其数值为该项目检出限，未检出项取其检出限值的1/2计算排放速率</w:t>
            </w:r>
            <w:r>
              <w:rPr>
                <w:szCs w:val="21"/>
              </w:rPr>
              <w:t>。</w:t>
            </w:r>
          </w:p>
          <w:p>
            <w:pPr>
              <w:autoSpaceDE w:val="0"/>
              <w:autoSpaceDN w:val="0"/>
              <w:spacing w:line="276" w:lineRule="auto"/>
              <w:ind w:firstLine="550" w:firstLineChars="250"/>
              <w:jc w:val="left"/>
              <w:rPr>
                <w:kern w:val="0"/>
                <w:sz w:val="22"/>
                <w:szCs w:val="21"/>
              </w:rPr>
            </w:pPr>
          </w:p>
          <w:p>
            <w:pPr>
              <w:spacing w:line="360" w:lineRule="auto"/>
              <w:rPr>
                <w:b/>
                <w:sz w:val="24"/>
              </w:rPr>
            </w:pPr>
            <w:r>
              <w:rPr>
                <w:b/>
                <w:sz w:val="24"/>
              </w:rPr>
              <w:t>8、噪声监测结果：</w:t>
            </w:r>
          </w:p>
          <w:p>
            <w:pPr>
              <w:adjustRightInd w:val="0"/>
              <w:jc w:val="left"/>
              <w:rPr>
                <w:sz w:val="24"/>
              </w:rPr>
            </w:pPr>
            <w:r>
              <w:rPr>
                <w:sz w:val="24"/>
              </w:rPr>
              <w:t>2017-0</w:t>
            </w:r>
            <w:r>
              <w:rPr>
                <w:rFonts w:hint="eastAsia"/>
                <w:sz w:val="24"/>
              </w:rPr>
              <w:t>4-24</w:t>
            </w:r>
            <w:r>
              <w:rPr>
                <w:sz w:val="24"/>
              </w:rPr>
              <w:t xml:space="preserve"> 天气状况：晴</w:t>
            </w:r>
            <w:r>
              <w:rPr>
                <w:rFonts w:hint="eastAsia"/>
                <w:sz w:val="24"/>
              </w:rPr>
              <w:t>，</w:t>
            </w:r>
            <w:r>
              <w:rPr>
                <w:sz w:val="24"/>
              </w:rPr>
              <w:t>监测期间最大风速：</w:t>
            </w:r>
            <w:r>
              <w:rPr>
                <w:rFonts w:hint="eastAsia"/>
                <w:sz w:val="24"/>
              </w:rPr>
              <w:t>1.9</w:t>
            </w:r>
            <w:r>
              <w:rPr>
                <w:sz w:val="24"/>
              </w:rPr>
              <w:t>m/s。</w:t>
            </w:r>
          </w:p>
          <w:tbl>
            <w:tblPr>
              <w:tblStyle w:val="27"/>
              <w:tblW w:w="907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3"/>
              <w:gridCol w:w="1456"/>
              <w:gridCol w:w="2310"/>
              <w:gridCol w:w="1455"/>
              <w:gridCol w:w="1372"/>
              <w:gridCol w:w="14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pPr>
                  <w:r>
                    <w:t>监测点位编号</w:t>
                  </w:r>
                </w:p>
              </w:tc>
              <w:tc>
                <w:tcPr>
                  <w:tcW w:w="1456" w:type="dxa"/>
                  <w:vAlign w:val="center"/>
                </w:tcPr>
                <w:p>
                  <w:pPr>
                    <w:jc w:val="center"/>
                  </w:pPr>
                  <w:r>
                    <w:t>监测时段</w:t>
                  </w:r>
                </w:p>
              </w:tc>
              <w:tc>
                <w:tcPr>
                  <w:tcW w:w="2310" w:type="dxa"/>
                  <w:vAlign w:val="center"/>
                </w:tcPr>
                <w:p>
                  <w:pPr>
                    <w:adjustRightInd w:val="0"/>
                    <w:jc w:val="center"/>
                    <w:rPr>
                      <w:szCs w:val="21"/>
                    </w:rPr>
                  </w:pPr>
                  <w:r>
                    <w:rPr>
                      <w:szCs w:val="21"/>
                    </w:rPr>
                    <w:t>测量值</w:t>
                  </w:r>
                </w:p>
              </w:tc>
              <w:tc>
                <w:tcPr>
                  <w:tcW w:w="1455" w:type="dxa"/>
                  <w:vAlign w:val="center"/>
                </w:tcPr>
                <w:p>
                  <w:pPr>
                    <w:adjustRightInd w:val="0"/>
                    <w:jc w:val="center"/>
                    <w:rPr>
                      <w:szCs w:val="21"/>
                    </w:rPr>
                  </w:pPr>
                  <w:r>
                    <w:rPr>
                      <w:szCs w:val="21"/>
                    </w:rPr>
                    <w:t>标准值</w:t>
                  </w:r>
                </w:p>
              </w:tc>
              <w:tc>
                <w:tcPr>
                  <w:tcW w:w="1372" w:type="dxa"/>
                  <w:vAlign w:val="center"/>
                </w:tcPr>
                <w:p>
                  <w:pPr>
                    <w:jc w:val="center"/>
                  </w:pPr>
                  <w:r>
                    <w:t>结果评价</w:t>
                  </w:r>
                </w:p>
              </w:tc>
              <w:tc>
                <w:tcPr>
                  <w:tcW w:w="1455" w:type="dxa"/>
                  <w:vAlign w:val="center"/>
                </w:tcPr>
                <w:p>
                  <w:pPr>
                    <w:adjustRightInd w:val="0"/>
                    <w:jc w:val="center"/>
                  </w:pPr>
                  <w:r>
                    <w:rPr>
                      <w:szCs w:val="21"/>
                    </w:rPr>
                    <w:t>主要噪声来源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▲1#</w:t>
                  </w:r>
                </w:p>
              </w:tc>
              <w:tc>
                <w:tcPr>
                  <w:tcW w:w="1456" w:type="dxa"/>
                  <w:vAlign w:val="center"/>
                </w:tcPr>
                <w:p>
                  <w:pPr>
                    <w:jc w:val="center"/>
                    <w:rPr>
                      <w:szCs w:val="21"/>
                    </w:rPr>
                  </w:pPr>
                  <w:r>
                    <w:rPr>
                      <w:rFonts w:hint="eastAsia"/>
                      <w:szCs w:val="21"/>
                    </w:rPr>
                    <w:t>15:04-15:09</w:t>
                  </w:r>
                </w:p>
              </w:tc>
              <w:tc>
                <w:tcPr>
                  <w:tcW w:w="2310" w:type="dxa"/>
                  <w:vAlign w:val="center"/>
                </w:tcPr>
                <w:p>
                  <w:pPr>
                    <w:autoSpaceDE w:val="0"/>
                    <w:autoSpaceDN w:val="0"/>
                    <w:jc w:val="center"/>
                  </w:pPr>
                  <w:r>
                    <w:rPr>
                      <w:rFonts w:hint="eastAsia"/>
                    </w:rPr>
                    <w:t>56</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▲2#</w:t>
                  </w:r>
                </w:p>
              </w:tc>
              <w:tc>
                <w:tcPr>
                  <w:tcW w:w="1456" w:type="dxa"/>
                  <w:vAlign w:val="center"/>
                </w:tcPr>
                <w:p>
                  <w:pPr>
                    <w:jc w:val="center"/>
                  </w:pPr>
                  <w:r>
                    <w:rPr>
                      <w:rFonts w:hint="eastAsia"/>
                    </w:rPr>
                    <w:t>15</w:t>
                  </w:r>
                  <w:r>
                    <w:t>:</w:t>
                  </w:r>
                  <w:r>
                    <w:rPr>
                      <w:rFonts w:hint="eastAsia"/>
                    </w:rPr>
                    <w:t>12</w:t>
                  </w:r>
                  <w:r>
                    <w:t>-1</w:t>
                  </w:r>
                  <w:r>
                    <w:rPr>
                      <w:rFonts w:hint="eastAsia"/>
                    </w:rPr>
                    <w:t>5</w:t>
                  </w:r>
                  <w:r>
                    <w:t>:</w:t>
                  </w:r>
                  <w:r>
                    <w:rPr>
                      <w:rFonts w:hint="eastAsia"/>
                    </w:rPr>
                    <w:t>17</w:t>
                  </w:r>
                </w:p>
              </w:tc>
              <w:tc>
                <w:tcPr>
                  <w:tcW w:w="2310" w:type="dxa"/>
                  <w:vAlign w:val="center"/>
                </w:tcPr>
                <w:p>
                  <w:pPr>
                    <w:autoSpaceDE w:val="0"/>
                    <w:autoSpaceDN w:val="0"/>
                    <w:jc w:val="center"/>
                  </w:pPr>
                  <w:r>
                    <w:rPr>
                      <w:rFonts w:hint="eastAsia"/>
                    </w:rPr>
                    <w:t>58</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▲3#</w:t>
                  </w:r>
                </w:p>
              </w:tc>
              <w:tc>
                <w:tcPr>
                  <w:tcW w:w="1456" w:type="dxa"/>
                  <w:vAlign w:val="center"/>
                </w:tcPr>
                <w:p>
                  <w:pPr>
                    <w:jc w:val="center"/>
                  </w:pPr>
                  <w:r>
                    <w:rPr>
                      <w:rFonts w:hint="eastAsia"/>
                    </w:rPr>
                    <w:t>15:22-15:27</w:t>
                  </w:r>
                </w:p>
              </w:tc>
              <w:tc>
                <w:tcPr>
                  <w:tcW w:w="2310" w:type="dxa"/>
                  <w:vAlign w:val="center"/>
                </w:tcPr>
                <w:p>
                  <w:pPr>
                    <w:autoSpaceDE w:val="0"/>
                    <w:autoSpaceDN w:val="0"/>
                    <w:jc w:val="center"/>
                  </w:pPr>
                  <w:r>
                    <w:rPr>
                      <w:rFonts w:hint="eastAsia"/>
                    </w:rPr>
                    <w:t>57</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▲4#</w:t>
                  </w:r>
                </w:p>
              </w:tc>
              <w:tc>
                <w:tcPr>
                  <w:tcW w:w="1456" w:type="dxa"/>
                  <w:vAlign w:val="center"/>
                </w:tcPr>
                <w:p>
                  <w:pPr>
                    <w:jc w:val="center"/>
                  </w:pPr>
                  <w:r>
                    <w:rPr>
                      <w:rFonts w:hint="eastAsia"/>
                    </w:rPr>
                    <w:t>15:31-15:36</w:t>
                  </w:r>
                </w:p>
              </w:tc>
              <w:tc>
                <w:tcPr>
                  <w:tcW w:w="2310" w:type="dxa"/>
                  <w:vAlign w:val="center"/>
                </w:tcPr>
                <w:p>
                  <w:pPr>
                    <w:autoSpaceDE w:val="0"/>
                    <w:autoSpaceDN w:val="0"/>
                    <w:jc w:val="center"/>
                  </w:pPr>
                  <w:r>
                    <w:rPr>
                      <w:rFonts w:hint="eastAsia"/>
                    </w:rPr>
                    <w:t>57</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bl>
          <w:p>
            <w:pPr>
              <w:adjustRightInd w:val="0"/>
              <w:jc w:val="center"/>
              <w:rPr>
                <w:sz w:val="24"/>
              </w:rPr>
            </w:pPr>
          </w:p>
          <w:p>
            <w:pPr>
              <w:adjustRightInd w:val="0"/>
              <w:jc w:val="left"/>
              <w:rPr>
                <w:sz w:val="24"/>
              </w:rPr>
            </w:pPr>
            <w:r>
              <w:rPr>
                <w:sz w:val="24"/>
              </w:rPr>
              <w:t>2017-0</w:t>
            </w:r>
            <w:r>
              <w:rPr>
                <w:rFonts w:hint="eastAsia"/>
                <w:sz w:val="24"/>
              </w:rPr>
              <w:t>4</w:t>
            </w:r>
            <w:r>
              <w:rPr>
                <w:sz w:val="24"/>
              </w:rPr>
              <w:t>-</w:t>
            </w:r>
            <w:r>
              <w:rPr>
                <w:rFonts w:hint="eastAsia"/>
                <w:sz w:val="24"/>
              </w:rPr>
              <w:t>25</w:t>
            </w:r>
            <w:r>
              <w:rPr>
                <w:sz w:val="24"/>
              </w:rPr>
              <w:t xml:space="preserve">  天气状况：晴</w:t>
            </w:r>
            <w:r>
              <w:rPr>
                <w:rFonts w:hint="eastAsia"/>
                <w:sz w:val="24"/>
              </w:rPr>
              <w:t>，</w:t>
            </w:r>
            <w:r>
              <w:rPr>
                <w:sz w:val="24"/>
              </w:rPr>
              <w:t>监测期间最大风速：</w:t>
            </w:r>
            <w:r>
              <w:rPr>
                <w:rFonts w:hint="eastAsia"/>
                <w:sz w:val="24"/>
              </w:rPr>
              <w:t>1.6</w:t>
            </w:r>
            <w:r>
              <w:rPr>
                <w:sz w:val="24"/>
              </w:rPr>
              <w:t>m/s。</w:t>
            </w:r>
          </w:p>
          <w:tbl>
            <w:tblPr>
              <w:tblStyle w:val="27"/>
              <w:tblW w:w="9071"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23"/>
              <w:gridCol w:w="1456"/>
              <w:gridCol w:w="2310"/>
              <w:gridCol w:w="1455"/>
              <w:gridCol w:w="1372"/>
              <w:gridCol w:w="14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pPr>
                  <w:r>
                    <w:t>监测点位编号</w:t>
                  </w:r>
                </w:p>
              </w:tc>
              <w:tc>
                <w:tcPr>
                  <w:tcW w:w="1456" w:type="dxa"/>
                  <w:vAlign w:val="center"/>
                </w:tcPr>
                <w:p>
                  <w:pPr>
                    <w:jc w:val="center"/>
                  </w:pPr>
                  <w:r>
                    <w:t>监测时段</w:t>
                  </w:r>
                </w:p>
              </w:tc>
              <w:tc>
                <w:tcPr>
                  <w:tcW w:w="2310" w:type="dxa"/>
                  <w:vAlign w:val="center"/>
                </w:tcPr>
                <w:p>
                  <w:pPr>
                    <w:adjustRightInd w:val="0"/>
                    <w:jc w:val="center"/>
                    <w:rPr>
                      <w:szCs w:val="21"/>
                    </w:rPr>
                  </w:pPr>
                  <w:r>
                    <w:rPr>
                      <w:szCs w:val="21"/>
                    </w:rPr>
                    <w:t>测量值</w:t>
                  </w:r>
                </w:p>
              </w:tc>
              <w:tc>
                <w:tcPr>
                  <w:tcW w:w="1455" w:type="dxa"/>
                  <w:vAlign w:val="center"/>
                </w:tcPr>
                <w:p>
                  <w:pPr>
                    <w:adjustRightInd w:val="0"/>
                    <w:jc w:val="center"/>
                    <w:rPr>
                      <w:szCs w:val="21"/>
                    </w:rPr>
                  </w:pPr>
                  <w:r>
                    <w:rPr>
                      <w:szCs w:val="21"/>
                    </w:rPr>
                    <w:t>标准值</w:t>
                  </w:r>
                </w:p>
              </w:tc>
              <w:tc>
                <w:tcPr>
                  <w:tcW w:w="1372" w:type="dxa"/>
                  <w:vAlign w:val="center"/>
                </w:tcPr>
                <w:p>
                  <w:pPr>
                    <w:jc w:val="center"/>
                  </w:pPr>
                  <w:r>
                    <w:t>结果评价</w:t>
                  </w:r>
                </w:p>
              </w:tc>
              <w:tc>
                <w:tcPr>
                  <w:tcW w:w="1455" w:type="dxa"/>
                  <w:vAlign w:val="center"/>
                </w:tcPr>
                <w:p>
                  <w:pPr>
                    <w:adjustRightInd w:val="0"/>
                    <w:jc w:val="center"/>
                  </w:pPr>
                  <w:r>
                    <w:rPr>
                      <w:szCs w:val="21"/>
                    </w:rPr>
                    <w:t>主要噪声来源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▲1#</w:t>
                  </w:r>
                </w:p>
              </w:tc>
              <w:tc>
                <w:tcPr>
                  <w:tcW w:w="1456" w:type="dxa"/>
                  <w:vAlign w:val="center"/>
                </w:tcPr>
                <w:p>
                  <w:pPr>
                    <w:jc w:val="center"/>
                    <w:rPr>
                      <w:szCs w:val="21"/>
                    </w:rPr>
                  </w:pPr>
                  <w:r>
                    <w:rPr>
                      <w:rFonts w:hint="eastAsia"/>
                      <w:szCs w:val="21"/>
                    </w:rPr>
                    <w:t>15:10-15:15</w:t>
                  </w:r>
                </w:p>
              </w:tc>
              <w:tc>
                <w:tcPr>
                  <w:tcW w:w="2310" w:type="dxa"/>
                  <w:vAlign w:val="center"/>
                </w:tcPr>
                <w:p>
                  <w:pPr>
                    <w:jc w:val="center"/>
                  </w:pPr>
                  <w:r>
                    <w:rPr>
                      <w:rFonts w:hint="eastAsia"/>
                    </w:rPr>
                    <w:t>56</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▲2#</w:t>
                  </w:r>
                </w:p>
              </w:tc>
              <w:tc>
                <w:tcPr>
                  <w:tcW w:w="1456" w:type="dxa"/>
                  <w:vAlign w:val="center"/>
                </w:tcPr>
                <w:p>
                  <w:pPr>
                    <w:jc w:val="center"/>
                  </w:pPr>
                  <w:r>
                    <w:rPr>
                      <w:rFonts w:hint="eastAsia"/>
                    </w:rPr>
                    <w:t>15:21-15:26</w:t>
                  </w:r>
                </w:p>
              </w:tc>
              <w:tc>
                <w:tcPr>
                  <w:tcW w:w="2310" w:type="dxa"/>
                  <w:vAlign w:val="center"/>
                </w:tcPr>
                <w:p>
                  <w:pPr>
                    <w:jc w:val="center"/>
                  </w:pPr>
                  <w:r>
                    <w:rPr>
                      <w:rFonts w:hint="eastAsia"/>
                    </w:rPr>
                    <w:t>57</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▲3#</w:t>
                  </w:r>
                </w:p>
              </w:tc>
              <w:tc>
                <w:tcPr>
                  <w:tcW w:w="1456" w:type="dxa"/>
                  <w:vAlign w:val="center"/>
                </w:tcPr>
                <w:p>
                  <w:pPr>
                    <w:jc w:val="center"/>
                  </w:pPr>
                  <w:r>
                    <w:rPr>
                      <w:rFonts w:hint="eastAsia"/>
                    </w:rPr>
                    <w:t>15:33-15:38</w:t>
                  </w:r>
                </w:p>
              </w:tc>
              <w:tc>
                <w:tcPr>
                  <w:tcW w:w="2310" w:type="dxa"/>
                  <w:vAlign w:val="center"/>
                </w:tcPr>
                <w:p>
                  <w:pPr>
                    <w:jc w:val="center"/>
                  </w:pPr>
                  <w:r>
                    <w:rPr>
                      <w:rFonts w:hint="eastAsia"/>
                    </w:rPr>
                    <w:t>58</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jc w:val="center"/>
              </w:trPr>
              <w:tc>
                <w:tcPr>
                  <w:tcW w:w="1023" w:type="dxa"/>
                  <w:vAlign w:val="center"/>
                </w:tcPr>
                <w:p>
                  <w:pPr>
                    <w:jc w:val="center"/>
                    <w:rPr>
                      <w:szCs w:val="21"/>
                    </w:rPr>
                  </w:pPr>
                  <w:r>
                    <w:rPr>
                      <w:szCs w:val="21"/>
                    </w:rPr>
                    <w:t>▲4#</w:t>
                  </w:r>
                </w:p>
              </w:tc>
              <w:tc>
                <w:tcPr>
                  <w:tcW w:w="1456" w:type="dxa"/>
                  <w:vAlign w:val="center"/>
                </w:tcPr>
                <w:p>
                  <w:pPr>
                    <w:jc w:val="center"/>
                  </w:pPr>
                  <w:r>
                    <w:rPr>
                      <w:rFonts w:hint="eastAsia"/>
                    </w:rPr>
                    <w:t>15:42-15:47</w:t>
                  </w:r>
                </w:p>
              </w:tc>
              <w:tc>
                <w:tcPr>
                  <w:tcW w:w="2310" w:type="dxa"/>
                  <w:vAlign w:val="center"/>
                </w:tcPr>
                <w:p>
                  <w:pPr>
                    <w:jc w:val="center"/>
                  </w:pPr>
                  <w:r>
                    <w:rPr>
                      <w:rFonts w:hint="eastAsia"/>
                    </w:rPr>
                    <w:t>57</w:t>
                  </w:r>
                </w:p>
              </w:tc>
              <w:tc>
                <w:tcPr>
                  <w:tcW w:w="1455" w:type="dxa"/>
                  <w:vAlign w:val="center"/>
                </w:tcPr>
                <w:p>
                  <w:pPr>
                    <w:autoSpaceDE w:val="0"/>
                    <w:autoSpaceDN w:val="0"/>
                    <w:jc w:val="center"/>
                    <w:rPr>
                      <w:kern w:val="0"/>
                      <w:sz w:val="22"/>
                      <w:szCs w:val="22"/>
                    </w:rPr>
                  </w:pPr>
                  <w:r>
                    <w:rPr>
                      <w:rFonts w:hint="eastAsia"/>
                      <w:kern w:val="0"/>
                      <w:sz w:val="22"/>
                      <w:szCs w:val="22"/>
                    </w:rPr>
                    <w:t>60</w:t>
                  </w:r>
                </w:p>
              </w:tc>
              <w:tc>
                <w:tcPr>
                  <w:tcW w:w="1372" w:type="dxa"/>
                  <w:vAlign w:val="center"/>
                </w:tcPr>
                <w:p>
                  <w:pPr>
                    <w:jc w:val="center"/>
                  </w:pPr>
                  <w:r>
                    <w:t>达标</w:t>
                  </w:r>
                </w:p>
              </w:tc>
              <w:tc>
                <w:tcPr>
                  <w:tcW w:w="1455" w:type="dxa"/>
                  <w:vAlign w:val="center"/>
                </w:tcPr>
                <w:p>
                  <w:pPr>
                    <w:jc w:val="center"/>
                  </w:pPr>
                  <w:r>
                    <w:t>生产噪声</w:t>
                  </w:r>
                </w:p>
              </w:tc>
            </w:tr>
          </w:tbl>
          <w:p>
            <w:pPr>
              <w:spacing w:line="360" w:lineRule="auto"/>
              <w:rPr>
                <w:b/>
                <w:sz w:val="24"/>
              </w:rPr>
            </w:pPr>
          </w:p>
          <w:p>
            <w:pPr>
              <w:spacing w:line="360" w:lineRule="auto"/>
              <w:rPr>
                <w:b/>
                <w:sz w:val="24"/>
              </w:rPr>
            </w:pPr>
            <w:r>
              <w:rPr>
                <w:b/>
                <w:sz w:val="24"/>
              </w:rPr>
              <w:t>9、污染排放总量控制</w:t>
            </w:r>
            <w:r>
              <w:rPr>
                <w:rFonts w:hint="eastAsia"/>
                <w:b/>
                <w:sz w:val="24"/>
              </w:rPr>
              <w:t>：</w:t>
            </w:r>
          </w:p>
          <w:p>
            <w:pPr>
              <w:autoSpaceDE w:val="0"/>
              <w:autoSpaceDN w:val="0"/>
              <w:adjustRightInd w:val="0"/>
              <w:spacing w:line="360" w:lineRule="auto"/>
              <w:ind w:firstLine="480" w:firstLineChars="200"/>
              <w:jc w:val="left"/>
              <w:rPr>
                <w:kern w:val="0"/>
                <w:sz w:val="28"/>
                <w:szCs w:val="22"/>
              </w:rPr>
            </w:pPr>
            <w:r>
              <w:rPr>
                <w:sz w:val="24"/>
              </w:rPr>
              <w:t>该项目环评批复未对总量控制作要求。</w:t>
            </w:r>
          </w:p>
        </w:tc>
      </w:tr>
    </w:tbl>
    <w:p>
      <w:pPr>
        <w:autoSpaceDE w:val="0"/>
        <w:autoSpaceDN w:val="0"/>
        <w:spacing w:line="360" w:lineRule="auto"/>
        <w:jc w:val="left"/>
        <w:rPr>
          <w:b/>
          <w:kern w:val="0"/>
          <w:sz w:val="28"/>
          <w:szCs w:val="22"/>
        </w:rPr>
      </w:pPr>
    </w:p>
    <w:p>
      <w:pPr>
        <w:autoSpaceDE w:val="0"/>
        <w:autoSpaceDN w:val="0"/>
        <w:spacing w:line="360" w:lineRule="auto"/>
        <w:jc w:val="left"/>
        <w:rPr>
          <w:b/>
          <w:kern w:val="0"/>
          <w:sz w:val="28"/>
          <w:szCs w:val="22"/>
        </w:rPr>
      </w:pPr>
    </w:p>
    <w:p>
      <w:pPr>
        <w:autoSpaceDE w:val="0"/>
        <w:autoSpaceDN w:val="0"/>
        <w:spacing w:line="360" w:lineRule="auto"/>
        <w:jc w:val="left"/>
        <w:rPr>
          <w:b/>
          <w:kern w:val="0"/>
          <w:sz w:val="28"/>
          <w:szCs w:val="22"/>
          <w:lang w:eastAsia="en-US"/>
        </w:rPr>
      </w:pPr>
      <w:r>
        <w:rPr>
          <w:b/>
          <w:kern w:val="0"/>
          <w:sz w:val="28"/>
          <w:szCs w:val="22"/>
          <w:lang w:eastAsia="en-US"/>
        </w:rPr>
        <w:t>表五 环境管理检查</w:t>
      </w:r>
    </w:p>
    <w:tbl>
      <w:tblPr>
        <w:tblStyle w:val="27"/>
        <w:tblW w:w="957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27"/>
        <w:gridCol w:w="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399" w:hRule="atLeast"/>
          <w:jc w:val="center"/>
        </w:trPr>
        <w:tc>
          <w:tcPr>
            <w:tcW w:w="9576" w:type="dxa"/>
            <w:gridSpan w:val="2"/>
          </w:tcPr>
          <w:p>
            <w:pPr>
              <w:autoSpaceDE w:val="0"/>
              <w:autoSpaceDN w:val="0"/>
              <w:spacing w:line="460" w:lineRule="exact"/>
              <w:jc w:val="left"/>
              <w:rPr>
                <w:b/>
                <w:kern w:val="0"/>
                <w:sz w:val="24"/>
                <w:szCs w:val="22"/>
              </w:rPr>
            </w:pPr>
            <w:r>
              <w:rPr>
                <w:b/>
                <w:kern w:val="0"/>
                <w:sz w:val="24"/>
                <w:szCs w:val="22"/>
              </w:rPr>
              <w:t>1、执行国家建设项目环境管理制度的情况</w:t>
            </w:r>
          </w:p>
          <w:p>
            <w:pPr>
              <w:autoSpaceDE w:val="0"/>
              <w:autoSpaceDN w:val="0"/>
              <w:adjustRightInd w:val="0"/>
              <w:spacing w:line="460" w:lineRule="exact"/>
              <w:ind w:firstLine="480" w:firstLineChars="200"/>
              <w:jc w:val="left"/>
              <w:rPr>
                <w:kern w:val="0"/>
                <w:sz w:val="24"/>
                <w:szCs w:val="22"/>
              </w:rPr>
            </w:pPr>
            <w:r>
              <w:rPr>
                <w:kern w:val="0"/>
                <w:sz w:val="24"/>
                <w:szCs w:val="22"/>
              </w:rPr>
              <w:t>项目执行了环境影响评价制度，201</w:t>
            </w:r>
            <w:r>
              <w:rPr>
                <w:rFonts w:hint="eastAsia"/>
                <w:kern w:val="0"/>
                <w:sz w:val="24"/>
                <w:szCs w:val="22"/>
              </w:rPr>
              <w:t>2</w:t>
            </w:r>
            <w:r>
              <w:rPr>
                <w:kern w:val="0"/>
                <w:sz w:val="24"/>
                <w:szCs w:val="22"/>
              </w:rPr>
              <w:t>年</w:t>
            </w:r>
            <w:r>
              <w:rPr>
                <w:rFonts w:hint="eastAsia"/>
                <w:kern w:val="0"/>
                <w:sz w:val="24"/>
                <w:szCs w:val="22"/>
              </w:rPr>
              <w:t>9</w:t>
            </w:r>
            <w:r>
              <w:rPr>
                <w:kern w:val="0"/>
                <w:sz w:val="24"/>
                <w:szCs w:val="22"/>
              </w:rPr>
              <w:t>月委托</w:t>
            </w:r>
            <w:r>
              <w:rPr>
                <w:rFonts w:hint="eastAsia"/>
                <w:kern w:val="0"/>
                <w:sz w:val="24"/>
                <w:szCs w:val="22"/>
              </w:rPr>
              <w:t>南京大学</w:t>
            </w:r>
            <w:r>
              <w:rPr>
                <w:kern w:val="0"/>
                <w:sz w:val="24"/>
                <w:szCs w:val="22"/>
              </w:rPr>
              <w:t>完成了环评报告表的编制，201</w:t>
            </w:r>
            <w:r>
              <w:rPr>
                <w:rFonts w:hint="eastAsia"/>
                <w:kern w:val="0"/>
                <w:sz w:val="24"/>
                <w:szCs w:val="22"/>
              </w:rPr>
              <w:t>2</w:t>
            </w:r>
            <w:r>
              <w:rPr>
                <w:kern w:val="0"/>
                <w:sz w:val="24"/>
                <w:szCs w:val="22"/>
              </w:rPr>
              <w:t>年</w:t>
            </w:r>
            <w:r>
              <w:rPr>
                <w:rFonts w:hint="eastAsia"/>
                <w:kern w:val="0"/>
                <w:sz w:val="24"/>
                <w:szCs w:val="22"/>
              </w:rPr>
              <w:t>12</w:t>
            </w:r>
            <w:r>
              <w:rPr>
                <w:kern w:val="0"/>
                <w:sz w:val="24"/>
                <w:szCs w:val="22"/>
              </w:rPr>
              <w:t>月取得了环境影响报告表的审批意见，深盐环批[201</w:t>
            </w:r>
            <w:r>
              <w:rPr>
                <w:rFonts w:hint="eastAsia"/>
                <w:kern w:val="0"/>
                <w:sz w:val="24"/>
                <w:szCs w:val="22"/>
              </w:rPr>
              <w:t>2</w:t>
            </w:r>
            <w:r>
              <w:rPr>
                <w:kern w:val="0"/>
                <w:sz w:val="24"/>
                <w:szCs w:val="22"/>
              </w:rPr>
              <w:t>]800</w:t>
            </w:r>
            <w:r>
              <w:rPr>
                <w:rFonts w:hint="eastAsia"/>
                <w:kern w:val="0"/>
                <w:sz w:val="24"/>
                <w:szCs w:val="22"/>
              </w:rPr>
              <w:t>138</w:t>
            </w:r>
            <w:r>
              <w:rPr>
                <w:kern w:val="0"/>
                <w:sz w:val="24"/>
                <w:szCs w:val="22"/>
              </w:rPr>
              <w:t>号，符合相关法律法规的要求。</w:t>
            </w:r>
          </w:p>
          <w:p>
            <w:pPr>
              <w:autoSpaceDE w:val="0"/>
              <w:autoSpaceDN w:val="0"/>
              <w:spacing w:line="460" w:lineRule="exact"/>
              <w:jc w:val="left"/>
              <w:rPr>
                <w:b/>
                <w:kern w:val="0"/>
                <w:sz w:val="24"/>
                <w:szCs w:val="22"/>
              </w:rPr>
            </w:pPr>
            <w:r>
              <w:rPr>
                <w:b/>
                <w:kern w:val="0"/>
                <w:sz w:val="24"/>
                <w:szCs w:val="22"/>
              </w:rPr>
              <w:t>2、环境管理制度的建立、执行情况</w:t>
            </w:r>
          </w:p>
          <w:p>
            <w:pPr>
              <w:autoSpaceDE w:val="0"/>
              <w:autoSpaceDN w:val="0"/>
              <w:adjustRightInd w:val="0"/>
              <w:spacing w:line="460" w:lineRule="exact"/>
              <w:ind w:firstLine="480" w:firstLineChars="200"/>
              <w:jc w:val="left"/>
              <w:rPr>
                <w:kern w:val="0"/>
                <w:sz w:val="24"/>
                <w:szCs w:val="22"/>
              </w:rPr>
            </w:pPr>
            <w:r>
              <w:rPr>
                <w:kern w:val="0"/>
                <w:sz w:val="24"/>
                <w:szCs w:val="22"/>
              </w:rPr>
              <w:t>项目制定有安全管理制度，安排专门的环境安全管理人员。</w:t>
            </w:r>
          </w:p>
          <w:p>
            <w:pPr>
              <w:autoSpaceDE w:val="0"/>
              <w:autoSpaceDN w:val="0"/>
              <w:spacing w:line="460" w:lineRule="exact"/>
              <w:jc w:val="left"/>
              <w:rPr>
                <w:b/>
                <w:kern w:val="0"/>
                <w:sz w:val="24"/>
                <w:szCs w:val="22"/>
              </w:rPr>
            </w:pPr>
            <w:r>
              <w:rPr>
                <w:b/>
                <w:kern w:val="0"/>
                <w:sz w:val="24"/>
                <w:szCs w:val="22"/>
              </w:rPr>
              <w:t>3、环保设施投资、运行及维护情况</w:t>
            </w:r>
          </w:p>
          <w:p>
            <w:pPr>
              <w:autoSpaceDE w:val="0"/>
              <w:autoSpaceDN w:val="0"/>
              <w:adjustRightInd w:val="0"/>
              <w:spacing w:line="460" w:lineRule="exact"/>
              <w:ind w:firstLine="480" w:firstLineChars="200"/>
              <w:jc w:val="left"/>
              <w:rPr>
                <w:kern w:val="0"/>
                <w:sz w:val="24"/>
                <w:szCs w:val="22"/>
              </w:rPr>
            </w:pPr>
            <w:r>
              <w:rPr>
                <w:kern w:val="0"/>
                <w:sz w:val="24"/>
                <w:szCs w:val="22"/>
              </w:rPr>
              <w:t>项目实际总投资</w:t>
            </w:r>
            <w:r>
              <w:rPr>
                <w:rFonts w:hint="eastAsia"/>
                <w:kern w:val="0"/>
                <w:sz w:val="24"/>
                <w:szCs w:val="22"/>
              </w:rPr>
              <w:t>1</w:t>
            </w:r>
            <w:r>
              <w:rPr>
                <w:kern w:val="0"/>
                <w:sz w:val="24"/>
                <w:szCs w:val="22"/>
              </w:rPr>
              <w:t>0</w:t>
            </w:r>
            <w:r>
              <w:rPr>
                <w:rFonts w:hint="eastAsia"/>
                <w:kern w:val="0"/>
                <w:sz w:val="24"/>
                <w:szCs w:val="22"/>
              </w:rPr>
              <w:t>0</w:t>
            </w:r>
            <w:r>
              <w:rPr>
                <w:kern w:val="0"/>
                <w:sz w:val="24"/>
                <w:szCs w:val="22"/>
              </w:rPr>
              <w:t>万元，其中环保投资为</w:t>
            </w:r>
            <w:r>
              <w:rPr>
                <w:rFonts w:hint="eastAsia"/>
                <w:kern w:val="0"/>
                <w:sz w:val="24"/>
                <w:szCs w:val="22"/>
              </w:rPr>
              <w:t>20</w:t>
            </w:r>
            <w:r>
              <w:rPr>
                <w:kern w:val="0"/>
                <w:sz w:val="24"/>
                <w:szCs w:val="22"/>
              </w:rPr>
              <w:t>万元，环保投资占总投资的</w:t>
            </w:r>
            <w:r>
              <w:rPr>
                <w:rFonts w:hint="eastAsia"/>
                <w:kern w:val="0"/>
                <w:sz w:val="24"/>
                <w:szCs w:val="22"/>
              </w:rPr>
              <w:t>20</w:t>
            </w:r>
            <w:r>
              <w:rPr>
                <w:kern w:val="0"/>
                <w:sz w:val="24"/>
                <w:szCs w:val="22"/>
              </w:rPr>
              <w:t>%。</w:t>
            </w:r>
          </w:p>
          <w:p>
            <w:pPr>
              <w:autoSpaceDE w:val="0"/>
              <w:autoSpaceDN w:val="0"/>
              <w:adjustRightInd w:val="0"/>
              <w:spacing w:line="460" w:lineRule="exact"/>
              <w:ind w:firstLine="480" w:firstLineChars="200"/>
              <w:jc w:val="left"/>
              <w:rPr>
                <w:kern w:val="0"/>
                <w:sz w:val="24"/>
                <w:szCs w:val="22"/>
              </w:rPr>
            </w:pPr>
            <w:r>
              <w:rPr>
                <w:kern w:val="0"/>
                <w:sz w:val="24"/>
                <w:szCs w:val="22"/>
              </w:rPr>
              <w:t>炸酸</w:t>
            </w:r>
            <w:r>
              <w:rPr>
                <w:rFonts w:hint="eastAsia"/>
                <w:kern w:val="0"/>
                <w:sz w:val="24"/>
                <w:szCs w:val="22"/>
              </w:rPr>
              <w:t>、</w:t>
            </w:r>
            <w:r>
              <w:rPr>
                <w:kern w:val="0"/>
                <w:sz w:val="24"/>
                <w:szCs w:val="22"/>
              </w:rPr>
              <w:t>熔金废气安装有“</w:t>
            </w:r>
            <w:r>
              <w:rPr>
                <w:rFonts w:hint="eastAsia"/>
                <w:kern w:val="0"/>
                <w:sz w:val="24"/>
                <w:szCs w:val="22"/>
              </w:rPr>
              <w:t>碱水喷淋+</w:t>
            </w:r>
            <w:r>
              <w:rPr>
                <w:kern w:val="0"/>
                <w:sz w:val="24"/>
                <w:szCs w:val="22"/>
              </w:rPr>
              <w:t>活性炭吸附”处理装置，处理后通过管道高空排放。</w:t>
            </w:r>
          </w:p>
          <w:p>
            <w:pPr>
              <w:autoSpaceDE w:val="0"/>
              <w:autoSpaceDN w:val="0"/>
              <w:spacing w:line="460" w:lineRule="exact"/>
              <w:jc w:val="left"/>
              <w:rPr>
                <w:b/>
                <w:kern w:val="0"/>
                <w:sz w:val="24"/>
                <w:szCs w:val="22"/>
              </w:rPr>
            </w:pPr>
            <w:r>
              <w:rPr>
                <w:b/>
                <w:kern w:val="0"/>
                <w:sz w:val="24"/>
                <w:szCs w:val="22"/>
              </w:rPr>
              <w:t>4、固体废物产生、处理处置情况</w:t>
            </w:r>
          </w:p>
          <w:p>
            <w:pPr>
              <w:autoSpaceDE w:val="0"/>
              <w:autoSpaceDN w:val="0"/>
              <w:spacing w:before="55" w:line="343" w:lineRule="auto"/>
              <w:ind w:left="99" w:leftChars="47" w:right="97" w:firstLine="360" w:firstLineChars="150"/>
              <w:jc w:val="left"/>
              <w:rPr>
                <w:kern w:val="0"/>
                <w:sz w:val="24"/>
                <w:szCs w:val="22"/>
              </w:rPr>
            </w:pPr>
            <w:r>
              <w:rPr>
                <w:kern w:val="0"/>
                <w:sz w:val="24"/>
                <w:szCs w:val="22"/>
              </w:rPr>
              <w:t>项目在厂区内设置专门垃圾容器对固体废物进行分类收集。项目</w:t>
            </w:r>
            <w:r>
              <w:rPr>
                <w:rFonts w:hint="eastAsia" w:ascii="宋体" w:hAnsi="宋体"/>
                <w:sz w:val="24"/>
              </w:rPr>
              <w:t>打磨、抛光后的贵金属碎屑以及生产过程产生的包装材料</w:t>
            </w:r>
            <w:r>
              <w:rPr>
                <w:kern w:val="0"/>
                <w:sz w:val="24"/>
                <w:szCs w:val="22"/>
              </w:rPr>
              <w:t>经分类收集后交相应生产资料回收部门回收；废酸液集中收集后委</w:t>
            </w:r>
            <w:r>
              <w:rPr>
                <w:color w:val="000000" w:themeColor="text1"/>
                <w:kern w:val="0"/>
                <w:sz w:val="24"/>
                <w:szCs w:val="22"/>
              </w:rPr>
              <w:t>托</w:t>
            </w:r>
            <w:r>
              <w:rPr>
                <w:rFonts w:hint="eastAsia"/>
                <w:color w:val="000000" w:themeColor="text1"/>
                <w:kern w:val="0"/>
                <w:sz w:val="24"/>
                <w:szCs w:val="22"/>
              </w:rPr>
              <w:t>深圳市深投环保科技有限公司（原深圳市危险废物处理站）</w:t>
            </w:r>
            <w:r>
              <w:rPr>
                <w:color w:val="000000" w:themeColor="text1"/>
                <w:kern w:val="0"/>
                <w:sz w:val="24"/>
                <w:szCs w:val="22"/>
              </w:rPr>
              <w:t>统一处理处置</w:t>
            </w:r>
            <w:r>
              <w:rPr>
                <w:kern w:val="0"/>
                <w:sz w:val="24"/>
                <w:szCs w:val="22"/>
              </w:rPr>
              <w:t>；生活垃圾由环卫部门定期统一清运处理。</w:t>
            </w:r>
          </w:p>
          <w:p>
            <w:pPr>
              <w:autoSpaceDE w:val="0"/>
              <w:autoSpaceDN w:val="0"/>
              <w:adjustRightInd w:val="0"/>
              <w:spacing w:line="460" w:lineRule="exact"/>
              <w:jc w:val="left"/>
              <w:rPr>
                <w:b/>
                <w:kern w:val="0"/>
                <w:sz w:val="24"/>
                <w:szCs w:val="22"/>
              </w:rPr>
            </w:pPr>
            <w:r>
              <w:rPr>
                <w:b/>
                <w:kern w:val="0"/>
                <w:sz w:val="24"/>
                <w:szCs w:val="22"/>
              </w:rPr>
              <w:t>5、污染物排放口规范化情况</w:t>
            </w:r>
          </w:p>
          <w:p>
            <w:pPr>
              <w:autoSpaceDE w:val="0"/>
              <w:autoSpaceDN w:val="0"/>
              <w:adjustRightInd w:val="0"/>
              <w:spacing w:line="460" w:lineRule="exact"/>
              <w:ind w:firstLine="480" w:firstLineChars="200"/>
              <w:jc w:val="left"/>
              <w:rPr>
                <w:kern w:val="0"/>
                <w:sz w:val="24"/>
                <w:szCs w:val="22"/>
              </w:rPr>
            </w:pPr>
            <w:r>
              <w:rPr>
                <w:kern w:val="0"/>
                <w:sz w:val="24"/>
                <w:szCs w:val="22"/>
              </w:rPr>
              <w:t>项目排放的污染物主要有废水、废气、噪声。现有</w:t>
            </w:r>
            <w:r>
              <w:rPr>
                <w:rFonts w:hint="eastAsia"/>
                <w:kern w:val="0"/>
                <w:sz w:val="24"/>
                <w:szCs w:val="22"/>
              </w:rPr>
              <w:t>生活</w:t>
            </w:r>
            <w:r>
              <w:rPr>
                <w:kern w:val="0"/>
                <w:sz w:val="24"/>
                <w:szCs w:val="22"/>
              </w:rPr>
              <w:t>污水排放口1个，符合《污水综合排放标准》（GB8978-1996）和《水质采样方案设计技术规定》（HJ495-2009）相关要求；现有废气排放口</w:t>
            </w:r>
            <w:r>
              <w:rPr>
                <w:rFonts w:hint="eastAsia"/>
                <w:kern w:val="0"/>
                <w:sz w:val="24"/>
                <w:szCs w:val="22"/>
              </w:rPr>
              <w:t>1</w:t>
            </w:r>
            <w:r>
              <w:rPr>
                <w:kern w:val="0"/>
                <w:sz w:val="24"/>
                <w:szCs w:val="22"/>
              </w:rPr>
              <w:t>个，采样口设计及采样平台设置均符合《固定源废气监测技术规范》（HJ/T397-2007）。</w:t>
            </w:r>
          </w:p>
          <w:p>
            <w:pPr>
              <w:autoSpaceDE w:val="0"/>
              <w:autoSpaceDN w:val="0"/>
              <w:adjustRightInd w:val="0"/>
              <w:spacing w:line="440" w:lineRule="exact"/>
              <w:jc w:val="left"/>
              <w:rPr>
                <w:b/>
                <w:kern w:val="0"/>
                <w:sz w:val="24"/>
                <w:szCs w:val="22"/>
              </w:rPr>
            </w:pPr>
            <w:r>
              <w:rPr>
                <w:rFonts w:hint="eastAsia"/>
                <w:b/>
                <w:kern w:val="0"/>
                <w:sz w:val="24"/>
                <w:szCs w:val="22"/>
              </w:rPr>
              <w:t>6</w:t>
            </w:r>
            <w:r>
              <w:rPr>
                <w:b/>
                <w:kern w:val="0"/>
                <w:sz w:val="24"/>
                <w:szCs w:val="22"/>
              </w:rPr>
              <w:t>、绿化、生态恢复措施及恢复情况</w:t>
            </w:r>
          </w:p>
          <w:p>
            <w:pPr>
              <w:autoSpaceDE w:val="0"/>
              <w:autoSpaceDN w:val="0"/>
              <w:adjustRightInd w:val="0"/>
              <w:spacing w:line="360" w:lineRule="auto"/>
              <w:ind w:firstLine="480" w:firstLineChars="200"/>
              <w:jc w:val="left"/>
              <w:rPr>
                <w:kern w:val="0"/>
                <w:sz w:val="24"/>
                <w:szCs w:val="22"/>
              </w:rPr>
            </w:pPr>
            <w:r>
              <w:rPr>
                <w:kern w:val="0"/>
                <w:sz w:val="24"/>
                <w:szCs w:val="22"/>
              </w:rPr>
              <w:t>项目对各种污染物均采取有效的处理措施，注重绿化、美化，未对周围的生态环境造成破坏。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gridAfter w:val="1"/>
          <w:wAfter w:w="49" w:type="dxa"/>
          <w:trHeight w:val="14014" w:hRule="atLeast"/>
          <w:jc w:val="center"/>
        </w:trPr>
        <w:tc>
          <w:tcPr>
            <w:tcW w:w="9527" w:type="dxa"/>
          </w:tcPr>
          <w:p>
            <w:pPr>
              <w:autoSpaceDE w:val="0"/>
              <w:autoSpaceDN w:val="0"/>
              <w:adjustRightInd w:val="0"/>
              <w:spacing w:line="360" w:lineRule="auto"/>
              <w:jc w:val="left"/>
              <w:rPr>
                <w:b/>
                <w:kern w:val="0"/>
                <w:sz w:val="24"/>
                <w:szCs w:val="22"/>
              </w:rPr>
            </w:pPr>
            <w:r>
              <w:rPr>
                <w:rFonts w:hint="eastAsia"/>
                <w:b/>
                <w:kern w:val="0"/>
                <w:sz w:val="24"/>
                <w:szCs w:val="22"/>
              </w:rPr>
              <w:t>7</w:t>
            </w:r>
            <w:r>
              <w:rPr>
                <w:b/>
                <w:kern w:val="0"/>
                <w:sz w:val="24"/>
                <w:szCs w:val="22"/>
              </w:rPr>
              <w:t>、环评报告表及批复要求的落实情况</w:t>
            </w:r>
          </w:p>
          <w:tbl>
            <w:tblPr>
              <w:tblStyle w:val="27"/>
              <w:tblW w:w="89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3934"/>
              <w:gridCol w:w="3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 w:hRule="atLeast"/>
                <w:tblHeader/>
                <w:jc w:val="center"/>
              </w:trPr>
              <w:tc>
                <w:tcPr>
                  <w:tcW w:w="1175" w:type="dxa"/>
                  <w:tcMar>
                    <w:top w:w="0" w:type="dxa"/>
                    <w:left w:w="0" w:type="dxa"/>
                    <w:bottom w:w="0" w:type="dxa"/>
                    <w:right w:w="0" w:type="dxa"/>
                  </w:tcMar>
                  <w:vAlign w:val="center"/>
                </w:tcPr>
                <w:p>
                  <w:pPr>
                    <w:autoSpaceDE w:val="0"/>
                    <w:autoSpaceDN w:val="0"/>
                    <w:spacing w:line="276" w:lineRule="auto"/>
                    <w:jc w:val="center"/>
                    <w:rPr>
                      <w:b/>
                      <w:kern w:val="0"/>
                      <w:sz w:val="24"/>
                      <w:szCs w:val="22"/>
                    </w:rPr>
                  </w:pPr>
                  <w:r>
                    <w:rPr>
                      <w:b/>
                      <w:kern w:val="0"/>
                      <w:sz w:val="24"/>
                      <w:szCs w:val="22"/>
                    </w:rPr>
                    <w:t>编号</w:t>
                  </w:r>
                </w:p>
              </w:tc>
              <w:tc>
                <w:tcPr>
                  <w:tcW w:w="3934" w:type="dxa"/>
                  <w:vAlign w:val="center"/>
                </w:tcPr>
                <w:p>
                  <w:pPr>
                    <w:autoSpaceDE w:val="0"/>
                    <w:autoSpaceDN w:val="0"/>
                    <w:spacing w:line="276" w:lineRule="auto"/>
                    <w:ind w:left="-59" w:leftChars="-28" w:right="-73" w:rightChars="-35"/>
                    <w:jc w:val="center"/>
                    <w:rPr>
                      <w:b/>
                      <w:kern w:val="0"/>
                      <w:sz w:val="24"/>
                      <w:szCs w:val="22"/>
                    </w:rPr>
                  </w:pPr>
                  <w:r>
                    <w:rPr>
                      <w:b/>
                      <w:kern w:val="0"/>
                      <w:sz w:val="24"/>
                      <w:szCs w:val="22"/>
                    </w:rPr>
                    <w:t>环评报告表及批复要求</w:t>
                  </w:r>
                </w:p>
              </w:tc>
              <w:tc>
                <w:tcPr>
                  <w:tcW w:w="3818" w:type="dxa"/>
                  <w:vAlign w:val="center"/>
                </w:tcPr>
                <w:p>
                  <w:pPr>
                    <w:autoSpaceDE w:val="0"/>
                    <w:autoSpaceDN w:val="0"/>
                    <w:spacing w:line="276" w:lineRule="auto"/>
                    <w:jc w:val="center"/>
                    <w:rPr>
                      <w:b/>
                      <w:kern w:val="0"/>
                      <w:sz w:val="24"/>
                      <w:szCs w:val="22"/>
                      <w:lang w:eastAsia="en-US"/>
                    </w:rPr>
                  </w:pPr>
                  <w:r>
                    <w:rPr>
                      <w:b/>
                      <w:kern w:val="0"/>
                      <w:sz w:val="24"/>
                      <w:szCs w:val="22"/>
                      <w:lang w:eastAsia="en-US"/>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1</w:t>
                  </w:r>
                </w:p>
              </w:tc>
              <w:tc>
                <w:tcPr>
                  <w:tcW w:w="3934"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szCs w:val="21"/>
                    </w:rPr>
                    <w:t>该项目按申报的方式从事黄金、铂金、钯金、K金、白金、铜、各类合金、钻石、宝石、半宝石、人造石、珍珠、K金镶嵌首饰和工艺品的生产加工，工艺仅限电金。年生</w:t>
                  </w:r>
                  <w:r>
                    <w:rPr>
                      <w:color w:val="000000"/>
                      <w:kern w:val="0"/>
                      <w:szCs w:val="21"/>
                    </w:rPr>
                    <w:t>产黄金</w:t>
                  </w:r>
                  <w:r>
                    <w:rPr>
                      <w:rFonts w:hint="eastAsia"/>
                      <w:color w:val="000000"/>
                      <w:kern w:val="0"/>
                      <w:szCs w:val="21"/>
                    </w:rPr>
                    <w:t>首饰20000件、铂金首饰10000件、钯金饰品5000件、K金饰品10000件、白银饰品10000件、工艺品5000件，</w:t>
                  </w:r>
                  <w:r>
                    <w:rPr>
                      <w:rFonts w:hint="eastAsia"/>
                      <w:szCs w:val="21"/>
                    </w:rPr>
                    <w:t>该项目如有扩大生产、改变生产工艺、改变建设地址须另行申报。</w:t>
                  </w:r>
                </w:p>
              </w:tc>
              <w:tc>
                <w:tcPr>
                  <w:tcW w:w="3818"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szCs w:val="21"/>
                    </w:rPr>
                    <w:t>已落实，年生产</w:t>
                  </w:r>
                  <w:r>
                    <w:rPr>
                      <w:color w:val="000000"/>
                      <w:kern w:val="0"/>
                      <w:szCs w:val="21"/>
                    </w:rPr>
                    <w:t>黄金</w:t>
                  </w:r>
                  <w:r>
                    <w:rPr>
                      <w:rFonts w:hint="eastAsia"/>
                      <w:color w:val="000000"/>
                      <w:kern w:val="0"/>
                      <w:szCs w:val="21"/>
                    </w:rPr>
                    <w:t>首饰20000件，其他产品不生产。</w:t>
                  </w:r>
                  <w:r>
                    <w:rPr>
                      <w:rFonts w:hint="eastAsia"/>
                      <w:szCs w:val="21"/>
                    </w:rPr>
                    <w:t>未扩大生产、未改变生产工艺和建设项目地址。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2</w:t>
                  </w:r>
                </w:p>
              </w:tc>
              <w:tc>
                <w:tcPr>
                  <w:tcW w:w="3934"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rPr>
                    <w:t>不得从事除油、酸洗、提纯、磷化、喷漆、喷塑、电镀、电氧化、印刷电路板、染洗、砂洗、印花等生产活动。</w:t>
                  </w:r>
                </w:p>
              </w:tc>
              <w:tc>
                <w:tcPr>
                  <w:tcW w:w="3818"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rPr>
                    <w:t>已落实，不从事除油、酸洗、提纯、磷化、喷漆、喷塑、电镀、电氧化、印刷电路板、染洗、砂洗、印花等生产活动。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3</w:t>
                  </w:r>
                </w:p>
              </w:tc>
              <w:tc>
                <w:tcPr>
                  <w:tcW w:w="3934"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项目生活污水执行DB44/26-2001的第二时段三级标准，</w:t>
                  </w:r>
                  <w:r>
                    <w:rPr>
                      <w:rFonts w:hint="eastAsia"/>
                      <w:color w:val="000000"/>
                      <w:spacing w:val="-8"/>
                      <w:szCs w:val="21"/>
                    </w:rPr>
                    <w:t>废液</w:t>
                  </w:r>
                  <w:r>
                    <w:rPr>
                      <w:color w:val="000000"/>
                      <w:spacing w:val="-8"/>
                      <w:szCs w:val="21"/>
                    </w:rPr>
                    <w:t>须委托深圳市危险废弃物处理站或经我局认可的有危险废物处理资质的单位处理</w:t>
                  </w:r>
                  <w:r>
                    <w:rPr>
                      <w:rFonts w:hint="eastAsia"/>
                      <w:color w:val="000000"/>
                      <w:spacing w:val="-8"/>
                      <w:szCs w:val="21"/>
                    </w:rPr>
                    <w:t>，有关委托合同须报我局备案。工业废水禁止排入市政污水管网。</w:t>
                  </w:r>
                </w:p>
              </w:tc>
              <w:tc>
                <w:tcPr>
                  <w:tcW w:w="3818"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已落实。</w:t>
                  </w:r>
                </w:p>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项目生活污水处理达到DB44/26-2001的第二时段三级标准后排入市政污水管网。</w:t>
                  </w:r>
                  <w:r>
                    <w:rPr>
                      <w:rFonts w:hint="eastAsia"/>
                      <w:color w:val="000000"/>
                      <w:spacing w:val="-8"/>
                      <w:szCs w:val="21"/>
                    </w:rPr>
                    <w:t>废液</w:t>
                  </w:r>
                  <w:r>
                    <w:rPr>
                      <w:color w:val="000000"/>
                      <w:spacing w:val="-8"/>
                      <w:szCs w:val="21"/>
                    </w:rPr>
                    <w:t>委托深圳市深投环保科技有限公司</w:t>
                  </w:r>
                  <w:r>
                    <w:rPr>
                      <w:rFonts w:hint="eastAsia"/>
                      <w:color w:val="000000"/>
                      <w:spacing w:val="-8"/>
                      <w:szCs w:val="21"/>
                    </w:rPr>
                    <w:t>（原深圳市危险废物处理站）统一</w:t>
                  </w:r>
                  <w:r>
                    <w:rPr>
                      <w:color w:val="000000"/>
                      <w:spacing w:val="-8"/>
                      <w:szCs w:val="21"/>
                    </w:rPr>
                    <w:t>处理</w:t>
                  </w:r>
                  <w:r>
                    <w:rPr>
                      <w:rFonts w:hint="eastAsia"/>
                      <w:color w:val="000000"/>
                      <w:spacing w:val="-8"/>
                      <w:szCs w:val="21"/>
                    </w:rPr>
                    <w:t>，</w:t>
                  </w:r>
                  <w:r>
                    <w:rPr>
                      <w:color w:val="000000"/>
                      <w:spacing w:val="-8"/>
                      <w:szCs w:val="21"/>
                    </w:rPr>
                    <w:t>不外排</w:t>
                  </w:r>
                  <w:r>
                    <w:rPr>
                      <w:rFonts w:hint="eastAsia"/>
                      <w:color w:val="000000"/>
                      <w:spacing w:val="-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4</w:t>
                  </w:r>
                </w:p>
              </w:tc>
              <w:tc>
                <w:tcPr>
                  <w:tcW w:w="3934"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排放废气执行DB44/27-2001的第二时段二级标准，所排废气须经废气处理设施处理达标后，通过管道高空排放。</w:t>
                  </w:r>
                </w:p>
              </w:tc>
              <w:tc>
                <w:tcPr>
                  <w:tcW w:w="3818"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已落实。</w:t>
                  </w:r>
                </w:p>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项目所排废气经废气净化设施处理，达到规定标准后</w:t>
                  </w:r>
                  <w:r>
                    <w:rPr>
                      <w:rFonts w:hint="eastAsia"/>
                      <w:color w:val="000000"/>
                      <w:spacing w:val="-8"/>
                      <w:szCs w:val="21"/>
                    </w:rPr>
                    <w:t>无色、无味</w:t>
                  </w:r>
                  <w:r>
                    <w:rPr>
                      <w:color w:val="000000"/>
                      <w:spacing w:val="-8"/>
                      <w:szCs w:val="21"/>
                    </w:rPr>
                    <w:t>，通过管道高空排放。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5"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5</w:t>
                  </w:r>
                </w:p>
              </w:tc>
              <w:tc>
                <w:tcPr>
                  <w:tcW w:w="3934"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排放噪声执行GB12348-2008的</w:t>
                  </w:r>
                  <w:r>
                    <w:rPr>
                      <w:rFonts w:hint="eastAsia"/>
                      <w:color w:val="000000"/>
                      <w:spacing w:val="-8"/>
                      <w:szCs w:val="21"/>
                    </w:rPr>
                    <w:t>2类标准，白天≤60分贝，夜间≤50分贝。</w:t>
                  </w:r>
                </w:p>
              </w:tc>
              <w:tc>
                <w:tcPr>
                  <w:tcW w:w="3818"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已落实。噪声经过治理后排放，经监测达到GB12348-2008的</w:t>
                  </w:r>
                  <w:r>
                    <w:rPr>
                      <w:rFonts w:hint="eastAsia"/>
                      <w:color w:val="000000"/>
                      <w:spacing w:val="-8"/>
                      <w:szCs w:val="21"/>
                    </w:rPr>
                    <w:t>2类标准，白天≤60分贝。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6</w:t>
                  </w:r>
                </w:p>
              </w:tc>
              <w:tc>
                <w:tcPr>
                  <w:tcW w:w="3934"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生产</w:t>
                  </w:r>
                  <w:r>
                    <w:rPr>
                      <w:rFonts w:hint="eastAsia"/>
                      <w:color w:val="000000"/>
                      <w:spacing w:val="-8"/>
                      <w:szCs w:val="21"/>
                    </w:rPr>
                    <w:t>、</w:t>
                  </w:r>
                  <w:r>
                    <w:rPr>
                      <w:color w:val="000000"/>
                      <w:spacing w:val="-8"/>
                      <w:szCs w:val="21"/>
                    </w:rPr>
                    <w:t>经营中产生的工业固体废弃物不准擅自排放或混入生活垃圾中倾倒</w:t>
                  </w:r>
                  <w:r>
                    <w:rPr>
                      <w:rFonts w:hint="eastAsia"/>
                      <w:color w:val="000000"/>
                      <w:spacing w:val="-8"/>
                      <w:szCs w:val="21"/>
                    </w:rPr>
                    <w:t>，</w:t>
                  </w:r>
                  <w:r>
                    <w:rPr>
                      <w:color w:val="000000"/>
                      <w:spacing w:val="-8"/>
                      <w:szCs w:val="21"/>
                    </w:rPr>
                    <w:t>工业危险废物须按国家要求分类存放并设立专用储存场所或设施</w:t>
                  </w:r>
                  <w:r>
                    <w:rPr>
                      <w:rFonts w:hint="eastAsia"/>
                      <w:color w:val="000000"/>
                      <w:spacing w:val="-8"/>
                      <w:szCs w:val="21"/>
                    </w:rPr>
                    <w:t>。</w:t>
                  </w:r>
                  <w:r>
                    <w:rPr>
                      <w:color w:val="000000"/>
                      <w:spacing w:val="-8"/>
                      <w:szCs w:val="21"/>
                    </w:rPr>
                    <w:t>须委托深圳市危险废物处理站或经我局认可的有危险废物处理资质的单位处理</w:t>
                  </w:r>
                  <w:r>
                    <w:rPr>
                      <w:rFonts w:hint="eastAsia"/>
                      <w:color w:val="000000"/>
                      <w:spacing w:val="-8"/>
                      <w:szCs w:val="21"/>
                    </w:rPr>
                    <w:t>，</w:t>
                  </w:r>
                  <w:r>
                    <w:rPr>
                      <w:color w:val="000000"/>
                      <w:spacing w:val="-8"/>
                      <w:szCs w:val="21"/>
                    </w:rPr>
                    <w:t>有关委托合同须报我局备案</w:t>
                  </w:r>
                  <w:r>
                    <w:rPr>
                      <w:rFonts w:hint="eastAsia"/>
                      <w:color w:val="000000"/>
                      <w:spacing w:val="-8"/>
                      <w:szCs w:val="21"/>
                    </w:rPr>
                    <w:t>。</w:t>
                  </w:r>
                </w:p>
              </w:tc>
              <w:tc>
                <w:tcPr>
                  <w:tcW w:w="3818" w:type="dxa"/>
                  <w:vAlign w:val="center"/>
                </w:tcPr>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已落实。</w:t>
                  </w:r>
                </w:p>
                <w:p>
                  <w:pPr>
                    <w:adjustRightInd w:val="0"/>
                    <w:snapToGrid w:val="0"/>
                    <w:spacing w:line="276" w:lineRule="auto"/>
                    <w:ind w:firstLine="388" w:firstLineChars="200"/>
                    <w:jc w:val="left"/>
                    <w:textAlignment w:val="baseline"/>
                    <w:rPr>
                      <w:color w:val="000000"/>
                      <w:spacing w:val="-8"/>
                      <w:szCs w:val="21"/>
                    </w:rPr>
                  </w:pPr>
                  <w:r>
                    <w:rPr>
                      <w:color w:val="000000"/>
                      <w:spacing w:val="-8"/>
                      <w:szCs w:val="21"/>
                    </w:rPr>
                    <w:t>项目产生的工业固体废弃物已分类存放并设立专用储存场所</w:t>
                  </w:r>
                  <w:r>
                    <w:rPr>
                      <w:rFonts w:hint="eastAsia"/>
                      <w:color w:val="000000"/>
                      <w:spacing w:val="-8"/>
                      <w:szCs w:val="21"/>
                    </w:rPr>
                    <w:t>，</w:t>
                  </w:r>
                  <w:r>
                    <w:rPr>
                      <w:color w:val="000000"/>
                      <w:spacing w:val="-8"/>
                      <w:szCs w:val="21"/>
                    </w:rPr>
                    <w:t>并已委托</w:t>
                  </w:r>
                  <w:r>
                    <w:rPr>
                      <w:rFonts w:hint="eastAsia"/>
                      <w:color w:val="000000"/>
                      <w:spacing w:val="-8"/>
                      <w:szCs w:val="21"/>
                    </w:rPr>
                    <w:t>深圳市深投环保技术有限公司（原深圳市危险废物处理站）</w:t>
                  </w:r>
                  <w:r>
                    <w:rPr>
                      <w:color w:val="000000"/>
                      <w:spacing w:val="-8"/>
                      <w:szCs w:val="21"/>
                    </w:rPr>
                    <w:t>，并签订有转移处理合同。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7</w:t>
                  </w:r>
                </w:p>
              </w:tc>
              <w:tc>
                <w:tcPr>
                  <w:tcW w:w="3934"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rPr>
                    <w:t>项目建设期和运营期须逐项落实环境影响报告表中所提的各项措施。</w:t>
                  </w:r>
                </w:p>
              </w:tc>
              <w:tc>
                <w:tcPr>
                  <w:tcW w:w="3818"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rPr>
                    <w:t>已落实，项目建设期和运营期须逐项落实环境影响报告表中所提的各项措施。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8</w:t>
                  </w:r>
                </w:p>
              </w:tc>
              <w:tc>
                <w:tcPr>
                  <w:tcW w:w="3934"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rPr>
                    <w:t>该项目须推行清洁生产，加强管理，减少污染物的生产。</w:t>
                  </w:r>
                </w:p>
              </w:tc>
              <w:tc>
                <w:tcPr>
                  <w:tcW w:w="3818" w:type="dxa"/>
                  <w:vAlign w:val="center"/>
                </w:tcPr>
                <w:p>
                  <w:pPr>
                    <w:adjustRightInd w:val="0"/>
                    <w:snapToGrid w:val="0"/>
                    <w:spacing w:line="276" w:lineRule="auto"/>
                    <w:ind w:firstLine="420" w:firstLineChars="200"/>
                    <w:jc w:val="left"/>
                    <w:textAlignment w:val="baseline"/>
                    <w:rPr>
                      <w:color w:val="000000"/>
                      <w:spacing w:val="-8"/>
                      <w:szCs w:val="21"/>
                    </w:rPr>
                  </w:pPr>
                  <w:r>
                    <w:rPr>
                      <w:rFonts w:hint="eastAsia"/>
                    </w:rPr>
                    <w:t>已落实，项目推行清洁生产，加强管理，减少污染物的生产。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9" w:hRule="atLeast"/>
                <w:tblHeader/>
                <w:jc w:val="center"/>
              </w:trPr>
              <w:tc>
                <w:tcPr>
                  <w:tcW w:w="1175" w:type="dxa"/>
                  <w:tcMar>
                    <w:top w:w="0" w:type="dxa"/>
                    <w:left w:w="0" w:type="dxa"/>
                    <w:bottom w:w="0" w:type="dxa"/>
                    <w:right w:w="0" w:type="dxa"/>
                  </w:tcMar>
                  <w:vAlign w:val="center"/>
                </w:tcPr>
                <w:p>
                  <w:pPr>
                    <w:adjustRightInd w:val="0"/>
                    <w:snapToGrid w:val="0"/>
                    <w:spacing w:line="276" w:lineRule="auto"/>
                    <w:ind w:firstLine="388" w:firstLineChars="200"/>
                    <w:jc w:val="left"/>
                    <w:textAlignment w:val="baseline"/>
                    <w:rPr>
                      <w:color w:val="000000"/>
                      <w:spacing w:val="-8"/>
                      <w:szCs w:val="21"/>
                    </w:rPr>
                  </w:pPr>
                  <w:r>
                    <w:rPr>
                      <w:rFonts w:hint="eastAsia"/>
                      <w:color w:val="000000"/>
                      <w:spacing w:val="-8"/>
                      <w:szCs w:val="21"/>
                    </w:rPr>
                    <w:t>9</w:t>
                  </w:r>
                </w:p>
              </w:tc>
              <w:tc>
                <w:tcPr>
                  <w:tcW w:w="3934" w:type="dxa"/>
                  <w:vAlign w:val="center"/>
                </w:tcPr>
                <w:p>
                  <w:pPr>
                    <w:adjustRightInd w:val="0"/>
                    <w:snapToGrid w:val="0"/>
                    <w:spacing w:line="276" w:lineRule="auto"/>
                    <w:ind w:firstLine="420" w:firstLineChars="200"/>
                    <w:jc w:val="left"/>
                    <w:textAlignment w:val="baseline"/>
                  </w:pPr>
                  <w:r>
                    <w:rPr>
                      <w:rFonts w:hint="eastAsia"/>
                    </w:rPr>
                    <w:t>该项目没有放射源、辐射源、没有放射性、辐射性物质产生。如有改变须另行申报。</w:t>
                  </w:r>
                </w:p>
              </w:tc>
              <w:tc>
                <w:tcPr>
                  <w:tcW w:w="3818" w:type="dxa"/>
                  <w:vAlign w:val="center"/>
                </w:tcPr>
                <w:p>
                  <w:pPr>
                    <w:adjustRightInd w:val="0"/>
                    <w:snapToGrid w:val="0"/>
                    <w:spacing w:line="276" w:lineRule="auto"/>
                    <w:ind w:firstLine="420" w:firstLineChars="200"/>
                    <w:jc w:val="left"/>
                    <w:textAlignment w:val="baseline"/>
                  </w:pPr>
                  <w:r>
                    <w:rPr>
                      <w:rFonts w:hint="eastAsia"/>
                    </w:rPr>
                    <w:t>已落实，该项目没有放射源、辐射源、没有放射性、辐射性物质产生。</w:t>
                  </w:r>
                </w:p>
              </w:tc>
            </w:tr>
          </w:tbl>
          <w:p>
            <w:pPr>
              <w:autoSpaceDE w:val="0"/>
              <w:autoSpaceDN w:val="0"/>
              <w:adjustRightInd w:val="0"/>
              <w:snapToGrid w:val="0"/>
              <w:spacing w:before="120" w:beforeLines="50"/>
              <w:jc w:val="center"/>
              <w:rPr>
                <w:kern w:val="0"/>
                <w:sz w:val="24"/>
                <w:szCs w:val="22"/>
              </w:rPr>
            </w:pPr>
          </w:p>
        </w:tc>
      </w:tr>
    </w:tbl>
    <w:p>
      <w:pPr>
        <w:autoSpaceDE w:val="0"/>
        <w:autoSpaceDN w:val="0"/>
        <w:spacing w:line="290" w:lineRule="auto"/>
        <w:jc w:val="left"/>
        <w:rPr>
          <w:kern w:val="0"/>
          <w:sz w:val="22"/>
          <w:szCs w:val="22"/>
        </w:rPr>
        <w:sectPr>
          <w:pgSz w:w="11910" w:h="16840"/>
          <w:pgMar w:top="1580" w:right="1160" w:bottom="1180" w:left="1160" w:header="0" w:footer="935" w:gutter="0"/>
          <w:cols w:space="720" w:num="1"/>
        </w:sectPr>
      </w:pPr>
    </w:p>
    <w:p>
      <w:pPr>
        <w:autoSpaceDE w:val="0"/>
        <w:autoSpaceDN w:val="0"/>
        <w:adjustRightInd w:val="0"/>
        <w:jc w:val="left"/>
        <w:rPr>
          <w:rFonts w:eastAsia="黑体"/>
          <w:kern w:val="0"/>
          <w:sz w:val="24"/>
          <w:szCs w:val="24"/>
        </w:rPr>
      </w:pPr>
      <w:bookmarkStart w:id="0" w:name="_GoBack"/>
      <w:r>
        <w:rPr>
          <w:b/>
          <w:kern w:val="0"/>
          <w:sz w:val="24"/>
          <w:szCs w:val="24"/>
        </w:rPr>
        <w:t>表六 验收监测结论及建议</w:t>
      </w:r>
    </w:p>
    <w:bookmarkEnd w:id="0"/>
    <w:tbl>
      <w:tblPr>
        <w:tblStyle w:val="27"/>
        <w:tblW w:w="9516"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5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650" w:hRule="atLeast"/>
          <w:jc w:val="center"/>
        </w:trPr>
        <w:tc>
          <w:tcPr>
            <w:tcW w:w="9516" w:type="dxa"/>
          </w:tcPr>
          <w:p>
            <w:pPr>
              <w:autoSpaceDE w:val="0"/>
              <w:autoSpaceDN w:val="0"/>
              <w:adjustRightInd w:val="0"/>
              <w:spacing w:line="400" w:lineRule="exact"/>
              <w:jc w:val="left"/>
              <w:rPr>
                <w:b/>
                <w:kern w:val="0"/>
                <w:sz w:val="20"/>
                <w:szCs w:val="20"/>
              </w:rPr>
            </w:pPr>
            <w:r>
              <w:rPr>
                <w:b/>
                <w:kern w:val="0"/>
                <w:sz w:val="24"/>
                <w:szCs w:val="22"/>
              </w:rPr>
              <w:t>1、项目基本情况</w:t>
            </w:r>
          </w:p>
          <w:p>
            <w:pPr>
              <w:autoSpaceDE w:val="0"/>
              <w:autoSpaceDN w:val="0"/>
              <w:adjustRightInd w:val="0"/>
              <w:spacing w:line="360" w:lineRule="auto"/>
              <w:ind w:firstLine="480" w:firstLineChars="200"/>
              <w:jc w:val="left"/>
              <w:rPr>
                <w:rFonts w:ascii="宋体" w:hAnsi="宋体"/>
                <w:sz w:val="24"/>
              </w:rPr>
            </w:pPr>
            <w:r>
              <w:rPr>
                <w:rFonts w:hint="eastAsia" w:ascii="宋体" w:hAnsi="宋体"/>
                <w:sz w:val="24"/>
              </w:rPr>
              <w:t>金万龙珠宝首饰（深圳）有限公司（以下简称项目），于2009年05月在深圳市盐田区沙头角保税区13栋4层开办，</w:t>
            </w:r>
            <w:r>
              <w:rPr>
                <w:rFonts w:hint="eastAsia"/>
                <w:color w:val="000000"/>
                <w:sz w:val="24"/>
              </w:rPr>
              <w:t>租用</w:t>
            </w:r>
            <w:r>
              <w:rPr>
                <w:rFonts w:hint="eastAsia"/>
                <w:sz w:val="24"/>
              </w:rPr>
              <w:t>深圳市深沙保（集团）有限公司</w:t>
            </w:r>
            <w:r>
              <w:rPr>
                <w:rFonts w:hint="eastAsia"/>
                <w:color w:val="000000"/>
                <w:sz w:val="24"/>
              </w:rPr>
              <w:t>的厂房（合同登记（备案）</w:t>
            </w:r>
            <w:r>
              <w:rPr>
                <w:rFonts w:hint="eastAsia" w:ascii="宋体" w:hAnsi="宋体"/>
                <w:sz w:val="24"/>
              </w:rPr>
              <w:t>号：盐CA005714 ），面积1621.87平方米。主要生产经营黄金首饰的生产加工。本次验收时，项目已搬迁，完成环评报告，并且取得“更名”环保审批手续</w:t>
            </w:r>
            <w:r>
              <w:rPr>
                <w:rFonts w:ascii="宋体" w:hAnsi="宋体"/>
                <w:sz w:val="24"/>
              </w:rPr>
              <w:t>（深盐环批[201</w:t>
            </w:r>
            <w:r>
              <w:rPr>
                <w:rFonts w:hint="eastAsia" w:ascii="宋体" w:hAnsi="宋体"/>
                <w:sz w:val="24"/>
              </w:rPr>
              <w:t>2</w:t>
            </w:r>
            <w:r>
              <w:rPr>
                <w:rFonts w:ascii="宋体" w:hAnsi="宋体"/>
                <w:sz w:val="24"/>
              </w:rPr>
              <w:t>]800</w:t>
            </w:r>
            <w:r>
              <w:rPr>
                <w:rFonts w:hint="eastAsia" w:ascii="宋体" w:hAnsi="宋体"/>
                <w:sz w:val="24"/>
              </w:rPr>
              <w:t>138</w:t>
            </w:r>
            <w:r>
              <w:rPr>
                <w:rFonts w:ascii="宋体" w:hAnsi="宋体"/>
                <w:sz w:val="24"/>
              </w:rPr>
              <w:t>号）</w:t>
            </w:r>
            <w:r>
              <w:rPr>
                <w:rFonts w:hint="eastAsia" w:ascii="宋体" w:hAnsi="宋体"/>
                <w:sz w:val="24"/>
              </w:rPr>
              <w:t>。</w:t>
            </w:r>
          </w:p>
          <w:p>
            <w:pPr>
              <w:autoSpaceDE w:val="0"/>
              <w:autoSpaceDN w:val="0"/>
              <w:adjustRightInd w:val="0"/>
              <w:spacing w:line="400" w:lineRule="exact"/>
              <w:jc w:val="left"/>
              <w:rPr>
                <w:b/>
                <w:kern w:val="0"/>
                <w:sz w:val="24"/>
                <w:szCs w:val="22"/>
              </w:rPr>
            </w:pPr>
            <w:r>
              <w:rPr>
                <w:b/>
                <w:kern w:val="0"/>
                <w:sz w:val="24"/>
                <w:szCs w:val="22"/>
              </w:rPr>
              <w:t>2、验收监测期间工况</w:t>
            </w:r>
          </w:p>
          <w:p>
            <w:pPr>
              <w:autoSpaceDE w:val="0"/>
              <w:autoSpaceDN w:val="0"/>
              <w:adjustRightInd w:val="0"/>
              <w:spacing w:line="360" w:lineRule="auto"/>
              <w:ind w:firstLine="480" w:firstLineChars="200"/>
              <w:jc w:val="left"/>
              <w:rPr>
                <w:kern w:val="0"/>
                <w:sz w:val="24"/>
                <w:szCs w:val="22"/>
              </w:rPr>
            </w:pPr>
            <w:r>
              <w:rPr>
                <w:kern w:val="0"/>
                <w:sz w:val="24"/>
                <w:szCs w:val="22"/>
              </w:rPr>
              <w:t>验收监测于2017年0</w:t>
            </w:r>
            <w:r>
              <w:rPr>
                <w:rFonts w:hint="eastAsia"/>
                <w:kern w:val="0"/>
                <w:sz w:val="24"/>
                <w:szCs w:val="22"/>
              </w:rPr>
              <w:t>4</w:t>
            </w:r>
            <w:r>
              <w:rPr>
                <w:kern w:val="0"/>
                <w:sz w:val="24"/>
                <w:szCs w:val="22"/>
              </w:rPr>
              <w:t>月</w:t>
            </w:r>
            <w:r>
              <w:rPr>
                <w:rFonts w:hint="eastAsia"/>
                <w:kern w:val="0"/>
                <w:sz w:val="24"/>
                <w:szCs w:val="22"/>
              </w:rPr>
              <w:t>24</w:t>
            </w:r>
            <w:r>
              <w:rPr>
                <w:kern w:val="0"/>
                <w:sz w:val="24"/>
                <w:szCs w:val="22"/>
              </w:rPr>
              <w:t>日-</w:t>
            </w:r>
            <w:r>
              <w:rPr>
                <w:rFonts w:hint="eastAsia"/>
                <w:kern w:val="0"/>
                <w:sz w:val="24"/>
                <w:szCs w:val="22"/>
              </w:rPr>
              <w:t>25</w:t>
            </w:r>
            <w:r>
              <w:rPr>
                <w:kern w:val="0"/>
                <w:sz w:val="24"/>
                <w:szCs w:val="22"/>
              </w:rPr>
              <w:t>日进行，监测期间的实际生产能力量达到设计生产能力的</w:t>
            </w:r>
            <w:r>
              <w:rPr>
                <w:rFonts w:hint="eastAsia"/>
                <w:sz w:val="24"/>
              </w:rPr>
              <w:t>90</w:t>
            </w:r>
            <w:r>
              <w:rPr>
                <w:sz w:val="24"/>
              </w:rPr>
              <w:t>%</w:t>
            </w:r>
            <w:r>
              <w:rPr>
                <w:kern w:val="0"/>
                <w:sz w:val="24"/>
                <w:szCs w:val="22"/>
              </w:rPr>
              <w:t>，满足75%以上负荷的要求。</w:t>
            </w:r>
          </w:p>
          <w:p>
            <w:pPr>
              <w:autoSpaceDE w:val="0"/>
              <w:autoSpaceDN w:val="0"/>
              <w:adjustRightInd w:val="0"/>
              <w:spacing w:line="400" w:lineRule="exact"/>
              <w:jc w:val="left"/>
              <w:rPr>
                <w:b/>
                <w:kern w:val="0"/>
                <w:sz w:val="24"/>
                <w:szCs w:val="22"/>
              </w:rPr>
            </w:pPr>
            <w:r>
              <w:rPr>
                <w:b/>
                <w:kern w:val="0"/>
                <w:sz w:val="24"/>
                <w:szCs w:val="22"/>
              </w:rPr>
              <w:t>3、污染物达标排放情况</w:t>
            </w:r>
          </w:p>
          <w:p>
            <w:pPr>
              <w:autoSpaceDE w:val="0"/>
              <w:autoSpaceDN w:val="0"/>
              <w:adjustRightInd w:val="0"/>
              <w:spacing w:line="360" w:lineRule="auto"/>
              <w:ind w:firstLine="480" w:firstLineChars="200"/>
              <w:jc w:val="left"/>
              <w:rPr>
                <w:kern w:val="0"/>
                <w:sz w:val="24"/>
                <w:szCs w:val="22"/>
              </w:rPr>
            </w:pPr>
            <w:r>
              <w:rPr>
                <w:kern w:val="0"/>
                <w:sz w:val="24"/>
                <w:szCs w:val="22"/>
              </w:rPr>
              <w:t>水污染物：项目产生的员工生活污水经三级化粪池处理后排入市政管网进入盐田污水厂处理。经监测达到广东省《水污染物排放限值》(DB44/26-2001)第二时段三级排放限值标准的要求。</w:t>
            </w:r>
          </w:p>
          <w:p>
            <w:pPr>
              <w:autoSpaceDE w:val="0"/>
              <w:autoSpaceDN w:val="0"/>
              <w:adjustRightInd w:val="0"/>
              <w:spacing w:line="360" w:lineRule="auto"/>
              <w:ind w:firstLine="480" w:firstLineChars="200"/>
              <w:jc w:val="left"/>
              <w:rPr>
                <w:kern w:val="0"/>
                <w:sz w:val="24"/>
                <w:szCs w:val="22"/>
              </w:rPr>
            </w:pPr>
            <w:r>
              <w:rPr>
                <w:kern w:val="0"/>
                <w:sz w:val="24"/>
                <w:szCs w:val="22"/>
              </w:rPr>
              <w:t>大气污染物：项目</w:t>
            </w:r>
            <w:r>
              <w:rPr>
                <w:rFonts w:hint="eastAsia"/>
                <w:kern w:val="0"/>
                <w:sz w:val="24"/>
                <w:szCs w:val="22"/>
              </w:rPr>
              <w:t>炸酸、熔金工序废气经过“水喷淋+活性炭吸附”处理后高空排放。</w:t>
            </w:r>
            <w:r>
              <w:rPr>
                <w:kern w:val="0"/>
                <w:sz w:val="24"/>
                <w:szCs w:val="22"/>
              </w:rPr>
              <w:t>经监测达到广东省地方标准《大气污染物排放限值》（DB44/27-2001）第二时段二级排放限值的要求。</w:t>
            </w:r>
          </w:p>
          <w:p>
            <w:pPr>
              <w:autoSpaceDE w:val="0"/>
              <w:autoSpaceDN w:val="0"/>
              <w:adjustRightInd w:val="0"/>
              <w:spacing w:line="360" w:lineRule="auto"/>
              <w:ind w:firstLine="480" w:firstLineChars="200"/>
              <w:jc w:val="left"/>
              <w:rPr>
                <w:kern w:val="0"/>
                <w:sz w:val="24"/>
                <w:szCs w:val="22"/>
              </w:rPr>
            </w:pPr>
            <w:r>
              <w:rPr>
                <w:kern w:val="0"/>
                <w:sz w:val="24"/>
                <w:szCs w:val="22"/>
              </w:rPr>
              <w:t>噪声：项目采取将各生产车间内的设备进行合理布局，夜间不生产，加强管理等措施，减少项目对周边声环境的影响。经监测噪声达到《工业企业厂界环境噪声排放标准》（GB 12348-2008）</w:t>
            </w:r>
            <w:r>
              <w:rPr>
                <w:rFonts w:hint="eastAsia"/>
                <w:kern w:val="0"/>
                <w:sz w:val="24"/>
                <w:szCs w:val="22"/>
              </w:rPr>
              <w:t>2</w:t>
            </w:r>
            <w:r>
              <w:rPr>
                <w:kern w:val="0"/>
                <w:sz w:val="24"/>
                <w:szCs w:val="22"/>
              </w:rPr>
              <w:t>类标准的要求。</w:t>
            </w:r>
          </w:p>
          <w:p>
            <w:pPr>
              <w:autoSpaceDE w:val="0"/>
              <w:autoSpaceDN w:val="0"/>
              <w:adjustRightInd w:val="0"/>
              <w:spacing w:line="360" w:lineRule="auto"/>
              <w:ind w:firstLine="480" w:firstLineChars="200"/>
              <w:jc w:val="left"/>
              <w:rPr>
                <w:kern w:val="0"/>
                <w:sz w:val="24"/>
                <w:szCs w:val="22"/>
              </w:rPr>
            </w:pPr>
            <w:r>
              <w:rPr>
                <w:kern w:val="0"/>
                <w:sz w:val="24"/>
                <w:szCs w:val="22"/>
              </w:rPr>
              <w:t>固体废物：项目在厂区内设置专门垃圾容器对固体废物进行分类收集。</w:t>
            </w:r>
            <w:r>
              <w:rPr>
                <w:rFonts w:hint="eastAsia" w:ascii="宋体" w:hAnsi="宋体"/>
                <w:sz w:val="24"/>
              </w:rPr>
              <w:t>打磨、抛光后的贵金属碎屑以及生产过程产生的包装材料</w:t>
            </w:r>
            <w:r>
              <w:rPr>
                <w:rFonts w:hint="eastAsia"/>
                <w:kern w:val="0"/>
                <w:sz w:val="24"/>
                <w:szCs w:val="22"/>
              </w:rPr>
              <w:t>，</w:t>
            </w:r>
            <w:r>
              <w:rPr>
                <w:rFonts w:hint="eastAsia" w:ascii="宋体" w:hAnsi="宋体"/>
                <w:sz w:val="24"/>
              </w:rPr>
              <w:t>分类收集后交相应生产资料回收部门回收。</w:t>
            </w:r>
            <w:r>
              <w:rPr>
                <w:kern w:val="0"/>
                <w:sz w:val="24"/>
                <w:szCs w:val="22"/>
              </w:rPr>
              <w:t>生活垃圾由环卫部门定期统一清运处理</w:t>
            </w:r>
            <w:r>
              <w:rPr>
                <w:rFonts w:hint="eastAsia"/>
                <w:kern w:val="0"/>
                <w:sz w:val="24"/>
                <w:szCs w:val="22"/>
              </w:rPr>
              <w:t>。</w:t>
            </w:r>
          </w:p>
          <w:p>
            <w:pPr>
              <w:autoSpaceDE w:val="0"/>
              <w:autoSpaceDN w:val="0"/>
              <w:adjustRightInd w:val="0"/>
              <w:spacing w:line="360" w:lineRule="auto"/>
              <w:ind w:firstLine="480" w:firstLineChars="200"/>
              <w:jc w:val="left"/>
              <w:rPr>
                <w:kern w:val="0"/>
                <w:sz w:val="24"/>
                <w:szCs w:val="22"/>
              </w:rPr>
            </w:pPr>
            <w:r>
              <w:rPr>
                <w:kern w:val="0"/>
                <w:sz w:val="24"/>
                <w:szCs w:val="22"/>
              </w:rPr>
              <w:t>危险废物</w:t>
            </w:r>
            <w:r>
              <w:rPr>
                <w:rFonts w:hint="eastAsia"/>
                <w:kern w:val="0"/>
                <w:sz w:val="24"/>
                <w:szCs w:val="22"/>
              </w:rPr>
              <w:t>：项目</w:t>
            </w:r>
            <w:r>
              <w:rPr>
                <w:kern w:val="0"/>
                <w:sz w:val="24"/>
                <w:szCs w:val="22"/>
              </w:rPr>
              <w:t>产生的危险废物集中收集后委托深圳市</w:t>
            </w:r>
            <w:r>
              <w:rPr>
                <w:rFonts w:hint="eastAsia"/>
                <w:kern w:val="0"/>
                <w:sz w:val="24"/>
                <w:szCs w:val="22"/>
              </w:rPr>
              <w:t>深投</w:t>
            </w:r>
            <w:r>
              <w:rPr>
                <w:kern w:val="0"/>
                <w:sz w:val="24"/>
                <w:szCs w:val="22"/>
              </w:rPr>
              <w:t>环保技术有限公司</w:t>
            </w:r>
            <w:r>
              <w:rPr>
                <w:rFonts w:hint="eastAsia"/>
                <w:kern w:val="0"/>
                <w:sz w:val="24"/>
                <w:szCs w:val="22"/>
              </w:rPr>
              <w:t>（原深圳市危险废物处理站）</w:t>
            </w:r>
            <w:r>
              <w:rPr>
                <w:kern w:val="0"/>
                <w:sz w:val="24"/>
                <w:szCs w:val="22"/>
              </w:rPr>
              <w:t>统一处理处置</w:t>
            </w:r>
            <w:r>
              <w:rPr>
                <w:rFonts w:hint="eastAsia"/>
                <w:kern w:val="0"/>
                <w:sz w:val="24"/>
                <w:szCs w:val="22"/>
              </w:rPr>
              <w:t>。</w:t>
            </w:r>
          </w:p>
          <w:p>
            <w:pPr>
              <w:autoSpaceDE w:val="0"/>
              <w:autoSpaceDN w:val="0"/>
              <w:adjustRightInd w:val="0"/>
              <w:spacing w:line="400" w:lineRule="exact"/>
              <w:jc w:val="left"/>
              <w:rPr>
                <w:b/>
                <w:kern w:val="0"/>
                <w:sz w:val="24"/>
                <w:szCs w:val="22"/>
              </w:rPr>
            </w:pPr>
            <w:r>
              <w:rPr>
                <w:b/>
                <w:kern w:val="0"/>
                <w:sz w:val="24"/>
                <w:szCs w:val="22"/>
              </w:rPr>
              <w:t>4、环保管理检查</w:t>
            </w:r>
          </w:p>
          <w:p>
            <w:pPr>
              <w:autoSpaceDE w:val="0"/>
              <w:autoSpaceDN w:val="0"/>
              <w:adjustRightInd w:val="0"/>
              <w:spacing w:line="360" w:lineRule="auto"/>
              <w:ind w:firstLine="480" w:firstLineChars="200"/>
              <w:jc w:val="left"/>
              <w:rPr>
                <w:kern w:val="0"/>
                <w:sz w:val="24"/>
                <w:szCs w:val="22"/>
              </w:rPr>
            </w:pPr>
            <w:r>
              <w:rPr>
                <w:kern w:val="0"/>
                <w:sz w:val="24"/>
                <w:szCs w:val="22"/>
              </w:rPr>
              <w:t>项目执行了环境影响评价及“三同时”制度，配有专人负责环保工作，环评批复要求基本得到落实。</w:t>
            </w:r>
          </w:p>
          <w:p>
            <w:pPr>
              <w:autoSpaceDE w:val="0"/>
              <w:autoSpaceDN w:val="0"/>
              <w:adjustRightInd w:val="0"/>
              <w:spacing w:line="400" w:lineRule="exact"/>
              <w:jc w:val="left"/>
              <w:rPr>
                <w:b/>
                <w:kern w:val="0"/>
                <w:sz w:val="24"/>
                <w:szCs w:val="22"/>
              </w:rPr>
            </w:pPr>
            <w:r>
              <w:rPr>
                <w:b/>
                <w:kern w:val="0"/>
                <w:sz w:val="24"/>
                <w:szCs w:val="22"/>
              </w:rPr>
              <w:t>5、结论</w:t>
            </w:r>
          </w:p>
          <w:p>
            <w:pPr>
              <w:autoSpaceDE w:val="0"/>
              <w:autoSpaceDN w:val="0"/>
              <w:adjustRightInd w:val="0"/>
              <w:spacing w:line="360" w:lineRule="auto"/>
              <w:ind w:firstLine="480" w:firstLineChars="200"/>
              <w:jc w:val="left"/>
              <w:rPr>
                <w:kern w:val="0"/>
                <w:sz w:val="24"/>
                <w:szCs w:val="22"/>
              </w:rPr>
            </w:pPr>
            <w:r>
              <w:rPr>
                <w:kern w:val="0"/>
                <w:sz w:val="24"/>
                <w:szCs w:val="22"/>
              </w:rPr>
              <w:t>根据项目验收监测和现场调查结果，项目基本符合建设项目竣工环境保护验收的要求</w:t>
            </w:r>
            <w:r>
              <w:rPr>
                <w:rFonts w:hint="eastAsia"/>
                <w:kern w:val="0"/>
                <w:sz w:val="24"/>
                <w:szCs w:val="22"/>
                <w:lang w:eastAsia="zh-CN"/>
              </w:rPr>
              <w:t>，通过验收</w:t>
            </w:r>
            <w:r>
              <w:rPr>
                <w:kern w:val="0"/>
                <w:sz w:val="24"/>
                <w:szCs w:val="22"/>
              </w:rPr>
              <w:t>。</w:t>
            </w:r>
          </w:p>
          <w:p>
            <w:pPr>
              <w:autoSpaceDE w:val="0"/>
              <w:autoSpaceDN w:val="0"/>
              <w:adjustRightInd w:val="0"/>
              <w:spacing w:line="400" w:lineRule="exact"/>
              <w:jc w:val="left"/>
              <w:rPr>
                <w:b/>
                <w:kern w:val="0"/>
                <w:sz w:val="24"/>
                <w:szCs w:val="22"/>
              </w:rPr>
            </w:pPr>
            <w:r>
              <w:rPr>
                <w:b/>
                <w:kern w:val="0"/>
                <w:sz w:val="24"/>
                <w:szCs w:val="22"/>
              </w:rPr>
              <w:t>6、建议</w:t>
            </w:r>
          </w:p>
          <w:p>
            <w:pPr>
              <w:autoSpaceDE w:val="0"/>
              <w:autoSpaceDN w:val="0"/>
              <w:adjustRightInd w:val="0"/>
              <w:spacing w:line="360" w:lineRule="auto"/>
              <w:ind w:firstLine="480" w:firstLineChars="200"/>
              <w:jc w:val="left"/>
              <w:rPr>
                <w:kern w:val="0"/>
                <w:sz w:val="24"/>
                <w:szCs w:val="22"/>
              </w:rPr>
            </w:pPr>
            <w:r>
              <w:rPr>
                <w:kern w:val="0"/>
                <w:sz w:val="24"/>
                <w:szCs w:val="22"/>
              </w:rPr>
              <w:t>建设单位应进一步加强对环保设施管理，建立环保设施运行记录的档案，严格做好各项污染防治工作。</w:t>
            </w:r>
          </w:p>
        </w:tc>
      </w:tr>
    </w:tbl>
    <w:p>
      <w:pPr>
        <w:snapToGrid w:val="0"/>
      </w:pPr>
    </w:p>
    <w:sectPr>
      <w:footerReference r:id="rId5" w:type="default"/>
      <w:pgSz w:w="11906" w:h="16838"/>
      <w:pgMar w:top="1582" w:right="1281" w:bottom="1123" w:left="1298" w:header="851" w:footer="992" w:gutter="0"/>
      <w:paperSrc/>
      <w:cols w:space="0" w:num="1"/>
      <w:rtlGutter w:val="0"/>
      <w:docGrid w:type="linesAndChars" w:linePitch="314" w:charSpace="4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 w:name="Arial">
    <w:panose1 w:val="020B0604020202020204"/>
    <w:charset w:val="00"/>
    <w:family w:val="modern"/>
    <w:pitch w:val="default"/>
    <w:sig w:usb0="E0002AFF" w:usb1="C0007843" w:usb2="00000009" w:usb3="00000000" w:csb0="400001FF" w:csb1="FFFF0000"/>
  </w:font>
  <w:font w:name="Arial Unicode MS">
    <w:panose1 w:val="020B0604020202020204"/>
    <w:charset w:val="86"/>
    <w:family w:val="modern"/>
    <w:pitch w:val="default"/>
    <w:sig w:usb0="FFFFFFFF" w:usb1="E9FFFFFF" w:usb2="0000003F" w:usb3="00000000" w:csb0="603F01FF" w:csb1="FFFF0000"/>
  </w:font>
  <w:font w:name="仿宋_GB2312">
    <w:panose1 w:val="02010609030101010101"/>
    <w:charset w:val="86"/>
    <w:family w:val="roman"/>
    <w:pitch w:val="default"/>
    <w:sig w:usb0="00000001" w:usb1="080E0000" w:usb2="00000000" w:usb3="00000000" w:csb0="00040000" w:csb1="00000000"/>
  </w:font>
  <w:font w:name="Verdana">
    <w:panose1 w:val="020B0604030504040204"/>
    <w:charset w:val="00"/>
    <w:family w:val="modern"/>
    <w:pitch w:val="default"/>
    <w:sig w:usb0="A10006FF" w:usb1="4000205B" w:usb2="00000010" w:usb3="00000000" w:csb0="2000019F" w:csb1="00000000"/>
  </w:font>
  <w:font w:name="Courier New">
    <w:panose1 w:val="02070309020205020404"/>
    <w:charset w:val="00"/>
    <w:family w:val="roman"/>
    <w:pitch w:val="default"/>
    <w:sig w:usb0="E0002AFF" w:usb1="C0007843" w:usb2="00000009" w:usb3="00000000" w:csb0="400001FF" w:csb1="FFFF0000"/>
  </w:font>
  <w:font w:name="仿宋体">
    <w:altName w:val="宋体"/>
    <w:panose1 w:val="00000000000000000000"/>
    <w:charset w:val="86"/>
    <w:family w:val="decorative"/>
    <w:pitch w:val="default"/>
    <w:sig w:usb0="00000000" w:usb1="00000000" w:usb2="00000010" w:usb3="00000000" w:csb0="00040000" w:csb1="00000000"/>
  </w:font>
  <w:font w:name="新宋体">
    <w:panose1 w:val="02010609030101010101"/>
    <w:charset w:val="86"/>
    <w:family w:val="roman"/>
    <w:pitch w:val="default"/>
    <w:sig w:usb0="00000003" w:usb1="288F0000" w:usb2="00000006" w:usb3="00000000" w:csb0="00040001" w:csb1="00000000"/>
  </w:font>
  <w:font w:name="楷体">
    <w:panose1 w:val="02010609060101010101"/>
    <w:charset w:val="86"/>
    <w:family w:val="roman"/>
    <w:pitch w:val="default"/>
    <w:sig w:usb0="800002BF" w:usb1="38CF7CFA" w:usb2="00000016" w:usb3="00000000" w:csb0="00040001" w:csb1="00000000"/>
  </w:font>
  <w:font w:name="Tms Rmn">
    <w:altName w:val="Times New Roman"/>
    <w:panose1 w:val="02020603040505020304"/>
    <w:charset w:val="00"/>
    <w:family w:val="decorative"/>
    <w:pitch w:val="default"/>
    <w:sig w:usb0="00000000" w:usb1="00000000" w:usb2="00000000" w:usb3="00000000" w:csb0="00000001" w:csb1="00000000"/>
  </w:font>
  <w:font w:name="ˎ̥">
    <w:altName w:val="Times New Roman"/>
    <w:panose1 w:val="00000000000000000000"/>
    <w:charset w:val="00"/>
    <w:family w:val="decorative"/>
    <w:pitch w:val="default"/>
    <w:sig w:usb0="00000000" w:usb1="00000000" w:usb2="00000000" w:usb3="00000000" w:csb0="00040001" w:csb1="00000000"/>
  </w:font>
  <w:font w:name="仿宋">
    <w:panose1 w:val="02010609060101010101"/>
    <w:charset w:val="86"/>
    <w:family w:val="roma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Courier New">
    <w:panose1 w:val="02070309020205020404"/>
    <w:charset w:val="00"/>
    <w:family w:val="modern"/>
    <w:pitch w:val="default"/>
    <w:sig w:usb0="E0002AFF" w:usb1="C0007843" w:usb2="00000009" w:usb3="00000000" w:csb0="400001FF" w:csb1="FFFF0000"/>
  </w:font>
  <w:font w:name="仿宋体">
    <w:altName w:val="宋体"/>
    <w:panose1 w:val="00000000000000000000"/>
    <w:charset w:val="86"/>
    <w:family w:val="roma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Tms Rmn">
    <w:altName w:val="Times New Roman"/>
    <w:panose1 w:val="02020603040505020304"/>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decorative"/>
    <w:pitch w:val="default"/>
    <w:sig w:usb0="E0002AFF" w:usb1="C0007843" w:usb2="00000009" w:usb3="00000000" w:csb0="400001FF" w:csb1="FFFF0000"/>
  </w:font>
  <w:font w:name="Arial Unicode MS">
    <w:panose1 w:val="020B0604020202020204"/>
    <w:charset w:val="86"/>
    <w:family w:val="decorative"/>
    <w:pitch w:val="default"/>
    <w:sig w:usb0="FFFFFFFF" w:usb1="E9FFFFFF" w:usb2="0000003F" w:usb3="00000000" w:csb0="603F01FF" w:csb1="FFFF0000"/>
  </w:font>
  <w:font w:name="仿宋_GB2312">
    <w:panose1 w:val="02010609030101010101"/>
    <w:charset w:val="86"/>
    <w:family w:val="swiss"/>
    <w:pitch w:val="default"/>
    <w:sig w:usb0="00000001" w:usb1="080E0000" w:usb2="00000000" w:usb3="00000000" w:csb0="00040000" w:csb1="00000000"/>
  </w:font>
  <w:font w:name="Verdana">
    <w:panose1 w:val="020B0604030504040204"/>
    <w:charset w:val="00"/>
    <w:family w:val="decorative"/>
    <w:pitch w:val="default"/>
    <w:sig w:usb0="A10006FF" w:usb1="4000205B" w:usb2="00000010" w:usb3="00000000" w:csb0="2000019F" w:csb1="00000000"/>
  </w:font>
  <w:font w:name="Courier New">
    <w:panose1 w:val="02070309020205020404"/>
    <w:charset w:val="00"/>
    <w:family w:val="swiss"/>
    <w:pitch w:val="default"/>
    <w:sig w:usb0="E0002AFF" w:usb1="C0007843" w:usb2="00000009" w:usb3="00000000" w:csb0="400001FF" w:csb1="FFFF0000"/>
  </w:font>
  <w:font w:name="仿宋体">
    <w:altName w:val="宋体"/>
    <w:panose1 w:val="00000000000000000000"/>
    <w:charset w:val="86"/>
    <w:family w:val="modern"/>
    <w:pitch w:val="default"/>
    <w:sig w:usb0="00000000" w:usb1="00000000" w:usb2="00000010" w:usb3="00000000" w:csb0="00040000" w:csb1="00000000"/>
  </w:font>
  <w:font w:name="新宋体">
    <w:panose1 w:val="02010609030101010101"/>
    <w:charset w:val="86"/>
    <w:family w:val="swiss"/>
    <w:pitch w:val="default"/>
    <w:sig w:usb0="00000003" w:usb1="288F0000" w:usb2="00000006" w:usb3="00000000" w:csb0="00040001" w:csb1="00000000"/>
  </w:font>
  <w:font w:name="楷体">
    <w:panose1 w:val="02010609060101010101"/>
    <w:charset w:val="86"/>
    <w:family w:val="swiss"/>
    <w:pitch w:val="default"/>
    <w:sig w:usb0="800002BF" w:usb1="38CF7CFA" w:usb2="00000016" w:usb3="00000000" w:csb0="00040001" w:csb1="00000000"/>
  </w:font>
  <w:font w:name="Tms Rmn">
    <w:altName w:val="Times New Roman"/>
    <w:panose1 w:val="02020603040505020304"/>
    <w:charset w:val="00"/>
    <w:family w:val="modern"/>
    <w:pitch w:val="default"/>
    <w:sig w:usb0="00000000" w:usb1="00000000" w:usb2="00000000" w:usb3="00000000" w:csb0="00000001" w:csb1="00000000"/>
  </w:font>
  <w:font w:name="ˎ̥">
    <w:altName w:val="Times New Roman"/>
    <w:panose1 w:val="00000000000000000000"/>
    <w:charset w:val="00"/>
    <w:family w:val="modern"/>
    <w:pitch w:val="default"/>
    <w:sig w:usb0="00000000" w:usb1="00000000" w:usb2="00000000"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roman"/>
    <w:pitch w:val="default"/>
    <w:sig w:usb0="E0002AFF" w:usb1="C0007843" w:usb2="00000009" w:usb3="00000000" w:csb0="400001FF" w:csb1="FFFF0000"/>
  </w:font>
  <w:font w:name="Arial Unicode MS">
    <w:panose1 w:val="020B0604020202020204"/>
    <w:charset w:val="86"/>
    <w:family w:val="roman"/>
    <w:pitch w:val="default"/>
    <w:sig w:usb0="FFFFFFFF" w:usb1="E9FFFFFF" w:usb2="0000003F" w:usb3="00000000" w:csb0="603F01FF" w:csb1="FFFF0000"/>
  </w:font>
  <w:font w:name="仿宋_GB2312">
    <w:panose1 w:val="02010609030101010101"/>
    <w:charset w:val="86"/>
    <w:family w:val="decorative"/>
    <w:pitch w:val="default"/>
    <w:sig w:usb0="00000001" w:usb1="080E0000" w:usb2="00000000" w:usb3="00000000" w:csb0="00040000" w:csb1="00000000"/>
  </w:font>
  <w:font w:name="Verdana">
    <w:panose1 w:val="020B0604030504040204"/>
    <w:charset w:val="00"/>
    <w:family w:val="roman"/>
    <w:pitch w:val="default"/>
    <w:sig w:usb0="A10006FF" w:usb1="4000205B" w:usb2="00000010" w:usb3="00000000" w:csb0="2000019F" w:csb1="00000000"/>
  </w:font>
  <w:font w:name="Courier New">
    <w:panose1 w:val="02070309020205020404"/>
    <w:charset w:val="00"/>
    <w:family w:val="decorative"/>
    <w:pitch w:val="default"/>
    <w:sig w:usb0="E0002AFF" w:usb1="C0007843" w:usb2="00000009" w:usb3="00000000" w:csb0="400001FF" w:csb1="FFFF0000"/>
  </w:font>
  <w:font w:name="仿宋体">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decorative"/>
    <w:pitch w:val="default"/>
    <w:sig w:usb0="00000003" w:usb1="288F0000" w:usb2="00000006" w:usb3="00000000" w:csb0="00040001" w:csb1="00000000"/>
  </w:font>
  <w:font w:name="楷体">
    <w:panose1 w:val="02010609060101010101"/>
    <w:charset w:val="86"/>
    <w:family w:val="decorative"/>
    <w:pitch w:val="default"/>
    <w:sig w:usb0="800002BF" w:usb1="38CF7CFA" w:usb2="00000016" w:usb3="00000000" w:csb0="00040001" w:csb1="00000000"/>
  </w:font>
  <w:font w:name="Tms Rmn">
    <w:altName w:val="Times New Roman"/>
    <w:panose1 w:val="02020603040505020304"/>
    <w:charset w:val="00"/>
    <w:family w:val="swiss"/>
    <w:pitch w:val="default"/>
    <w:sig w:usb0="00000000" w:usb1="00000000" w:usb2="00000000" w:usb3="00000000" w:csb0="00000001" w:csb1="00000000"/>
  </w:font>
  <w:font w:name="ˎ̥">
    <w:altName w:val="Times New Roman"/>
    <w:panose1 w:val="00000000000000000000"/>
    <w:charset w:val="00"/>
    <w:family w:val="swiss"/>
    <w:pitch w:val="default"/>
    <w:sig w:usb0="00000000" w:usb1="00000000" w:usb2="00000000" w:usb3="00000000" w:csb0="00040001" w:csb1="00000000"/>
  </w:font>
  <w:font w:name="仿宋">
    <w:panose1 w:val="02010609060101010101"/>
    <w:charset w:val="86"/>
    <w:family w:val="decorative"/>
    <w:pitch w:val="default"/>
    <w:sig w:usb0="800002BF" w:usb1="38CF7CFA" w:usb2="00000016" w:usb3="00000000" w:csb0="00040001" w:csb1="00000000"/>
  </w:font>
  <w:font w:name="楷体_GB2312">
    <w:altName w:val="楷体"/>
    <w:panose1 w:val="02010609030101010101"/>
    <w:charset w:val="86"/>
    <w:family w:val="decorative"/>
    <w:pitch w:val="default"/>
    <w:sig w:usb0="00000000" w:usb1="00000000" w:usb2="00000000" w:usb3="00000000" w:csb0="00040000" w:csb1="00000000"/>
  </w:font>
  <w:font w:name="Tahoma">
    <w:panose1 w:val="020B0604030504040204"/>
    <w:charset w:val="00"/>
    <w:family w:val="roman"/>
    <w:pitch w:val="default"/>
    <w:sig w:usb0="E1002EFF" w:usb1="C000605B" w:usb2="00000029" w:usb3="00000000" w:csb0="200101FF" w:csb1="20280000"/>
  </w:font>
  <w:font w:name="Microsoft YaHei UI">
    <w:altName w:val="宋体"/>
    <w:panose1 w:val="020B0503020204020204"/>
    <w:charset w:val="86"/>
    <w:family w:val="roman"/>
    <w:pitch w:val="default"/>
    <w:sig w:usb0="00000000" w:usb1="00000000" w:usb2="00000016" w:usb3="00000000" w:csb0="0004001F" w:csb1="00000000"/>
  </w:font>
  <w:font w:name="Calibri Light">
    <w:panose1 w:val="020F0302020204030204"/>
    <w:charset w:val="00"/>
    <w:family w:val="roman"/>
    <w:pitch w:val="default"/>
    <w:sig w:usb0="A00002EF" w:usb1="4000207B" w:usb2="00000000" w:usb3="00000000" w:csb0="2000019F" w:csb1="00000000"/>
  </w:font>
  <w:font w:name="TimesNewRomanPSMT">
    <w:altName w:val="方正舒体"/>
    <w:panose1 w:val="00000000000000000000"/>
    <w:charset w:val="86"/>
    <w:family w:val="auto"/>
    <w:pitch w:val="default"/>
    <w:sig w:usb0="00000000" w:usb1="00000000" w:usb2="00000010" w:usb3="00000000" w:csb0="00040000" w:csb1="00000000"/>
  </w:font>
  <w:font w:name="黑体">
    <w:panose1 w:val="02010609060101010101"/>
    <w:charset w:val="86"/>
    <w:family w:val="decorative"/>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roman"/>
    <w:pitch w:val="default"/>
    <w:sig w:usb0="00000000" w:usb1="00000000" w:usb2="00000000" w:usb3="00000000" w:csb0="00040000" w:csb1="00000000"/>
  </w:font>
  <w:font w:name="Tahoma">
    <w:panose1 w:val="020B0604030504040204"/>
    <w:charset w:val="00"/>
    <w:family w:val="modern"/>
    <w:pitch w:val="default"/>
    <w:sig w:usb0="E1002EFF" w:usb1="C000605B" w:usb2="00000029" w:usb3="00000000" w:csb0="200101FF" w:csb1="20280000"/>
  </w:font>
  <w:font w:name="Microsoft YaHei UI">
    <w:altName w:val="宋体"/>
    <w:panose1 w:val="020B0503020204020204"/>
    <w:charset w:val="86"/>
    <w:family w:val="modern"/>
    <w:pitch w:val="default"/>
    <w:sig w:usb0="00000000" w:usb1="00000000" w:usb2="00000016" w:usb3="00000000" w:csb0="0004001F" w:csb1="00000000"/>
  </w:font>
  <w:font w:name="Calibri Light">
    <w:panose1 w:val="020F0302020204030204"/>
    <w:charset w:val="00"/>
    <w:family w:val="modern"/>
    <w:pitch w:val="default"/>
    <w:sig w:usb0="A00002EF" w:usb1="4000207B" w:usb2="00000000" w:usb3="00000000" w:csb0="2000019F" w:csb1="00000000"/>
  </w:font>
  <w:font w:name="黑体">
    <w:panose1 w:val="02010609060101010101"/>
    <w:charset w:val="86"/>
    <w:family w:val="roma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黑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swiss"/>
    <w:pitch w:val="default"/>
    <w:sig w:usb0="00000000" w:usb1="00000000" w:usb2="00000000" w:usb3="00000000" w:csb0="00040000" w:csb1="00000000"/>
  </w:font>
  <w:font w:name="Tahoma">
    <w:panose1 w:val="020B0604030504040204"/>
    <w:charset w:val="00"/>
    <w:family w:val="decorative"/>
    <w:pitch w:val="default"/>
    <w:sig w:usb0="E1002EFF" w:usb1="C000605B" w:usb2="00000029" w:usb3="00000000" w:csb0="200101FF" w:csb1="20280000"/>
  </w:font>
  <w:font w:name="Microsoft YaHei UI">
    <w:altName w:val="宋体"/>
    <w:panose1 w:val="020B0503020204020204"/>
    <w:charset w:val="86"/>
    <w:family w:val="decorative"/>
    <w:pitch w:val="default"/>
    <w:sig w:usb0="00000000" w:usb1="00000000" w:usb2="00000016" w:usb3="00000000" w:csb0="0004001F" w:csb1="00000000"/>
  </w:font>
  <w:font w:name="Calibri Light">
    <w:panose1 w:val="020F0302020204030204"/>
    <w:charset w:val="00"/>
    <w:family w:val="decorative"/>
    <w:pitch w:val="default"/>
    <w:sig w:usb0="A00002EF" w:usb1="4000207B" w:usb2="00000000" w:usb3="00000000" w:csb0="2000019F" w:csb1="00000000"/>
  </w:font>
  <w:font w:name="黑体">
    <w:panose1 w:val="02010609060101010101"/>
    <w:charset w:val="86"/>
    <w:family w:val="swiss"/>
    <w:pitch w:val="default"/>
    <w:sig w:usb0="800002BF" w:usb1="38CF7CFA" w:usb2="00000016" w:usb3="00000000" w:csb0="00040001" w:csb1="00000000"/>
  </w:font>
  <w:font w:name="Times">
    <w:altName w:val="Times New Roman"/>
    <w:panose1 w:val="02020603050405020304"/>
    <w:charset w:val="00"/>
    <w:family w:val="swiss"/>
    <w:pitch w:val="default"/>
    <w:sig w:usb0="00000000" w:usb1="00000000" w:usb2="00000009" w:usb3="00000000" w:csb0="000001FF" w:csb1="00000000"/>
  </w:font>
  <w:font w:name="????-??">
    <w:altName w:val="Times New Roman"/>
    <w:panose1 w:val="00000000000000000000"/>
    <w:charset w:val="00"/>
    <w:family w:val="auto"/>
    <w:pitch w:val="default"/>
    <w:sig w:usb0="00000000" w:usb1="00000000" w:usb2="00000000" w:usb3="00000000" w:csb0="00000001" w:csb1="00000000"/>
  </w:font>
  <w:font w:name="华文新魏">
    <w:panose1 w:val="02010800040101010101"/>
    <w:charset w:val="86"/>
    <w:family w:val="auto"/>
    <w:pitch w:val="default"/>
    <w:sig w:usb0="00000001" w:usb1="080F0000" w:usb2="00000000" w:usb3="00000000" w:csb0="00040000" w:csb1="00000000"/>
  </w:font>
  <w:font w:name="Garamond">
    <w:panose1 w:val="02020404030301010803"/>
    <w:charset w:val="00"/>
    <w:family w:val="swiss"/>
    <w:pitch w:val="default"/>
    <w:sig w:usb0="00000287" w:usb1="00000000" w:usb2="00000000" w:usb3="00000000" w:csb0="0000009F" w:csb1="DFD70000"/>
  </w:font>
  <w:font w:name="Times">
    <w:altName w:val="Times New Roman"/>
    <w:panose1 w:val="02020603050405020304"/>
    <w:charset w:val="00"/>
    <w:family w:val="decorative"/>
    <w:pitch w:val="default"/>
    <w:sig w:usb0="00000000" w:usb1="00000000" w:usb2="00000009" w:usb3="00000000" w:csb0="000001FF" w:csb1="00000000"/>
  </w:font>
  <w:font w:name="Garamond">
    <w:panose1 w:val="02020404030301010803"/>
    <w:charset w:val="00"/>
    <w:family w:val="decorative"/>
    <w:pitch w:val="default"/>
    <w:sig w:usb0="00000287" w:usb1="00000000" w:usb2="00000000" w:usb3="00000000" w:csb0="0000009F" w:csb1="DFD70000"/>
  </w:font>
  <w:font w:name="Times">
    <w:altName w:val="Times New Roman"/>
    <w:panose1 w:val="02020603050405020304"/>
    <w:charset w:val="00"/>
    <w:family w:val="roman"/>
    <w:pitch w:val="default"/>
    <w:sig w:usb0="00000000" w:usb1="00000000" w:usb2="00000009" w:usb3="00000000" w:csb0="000001FF" w:csb1="00000000"/>
  </w:font>
  <w:font w:name="Garamond">
    <w:panose1 w:val="02020404030301010803"/>
    <w:charset w:val="00"/>
    <w:family w:val="roman"/>
    <w:pitch w:val="default"/>
    <w:sig w:usb0="00000287" w:usb1="00000000" w:usb2="00000000" w:usb3="00000000" w:csb0="0000009F" w:csb1="DFD70000"/>
  </w:font>
  <w:font w:name="Times">
    <w:altName w:val="Times New Roman"/>
    <w:panose1 w:val="02020603050405020304"/>
    <w:charset w:val="00"/>
    <w:family w:val="modern"/>
    <w:pitch w:val="default"/>
    <w:sig w:usb0="00000000" w:usb1="00000000" w:usb2="00000009" w:usb3="00000000" w:csb0="000001FF" w:csb1="00000000"/>
  </w:font>
  <w:font w:name="Garamond">
    <w:panose1 w:val="02020404030301010803"/>
    <w:charset w:val="00"/>
    <w:family w:val="modern"/>
    <w:pitch w:val="default"/>
    <w:sig w:usb0="00000287" w:usb1="00000000" w:usb2="00000000" w:usb3="00000000" w:csb0="0000009F" w:csb1="DFD70000"/>
  </w:font>
  <w:font w:name="..r...">
    <w:altName w:val="宋体"/>
    <w:panose1 w:val="00000000000000000000"/>
    <w:charset w:val="86"/>
    <w:family w:val="decorative"/>
    <w:pitch w:val="default"/>
    <w:sig w:usb0="00000000" w:usb1="00000000" w:usb2="00000010" w:usb3="00000000" w:csb0="00040000" w:csb1="00000000"/>
  </w:font>
  <w:font w:name="Segoe UI Symbol">
    <w:panose1 w:val="020B0502040204020203"/>
    <w:charset w:val="00"/>
    <w:family w:val="roman"/>
    <w:pitch w:val="default"/>
    <w:sig w:usb0="8000006F" w:usb1="1200FBEF" w:usb2="0064C000" w:usb3="00000002" w:csb0="00000001" w:csb1="40000000"/>
  </w:font>
  <w:font w:name="方正兰亭超细黑简体">
    <w:panose1 w:val="02000000000000000000"/>
    <w:charset w:val="86"/>
    <w:family w:val="auto"/>
    <w:pitch w:val="default"/>
    <w:sig w:usb0="00000001" w:usb1="08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r...">
    <w:altName w:val="宋体"/>
    <w:panose1 w:val="00000000000000000000"/>
    <w:charset w:val="86"/>
    <w:family w:val="modern"/>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r...">
    <w:altName w:val="宋体"/>
    <w:panose1 w:val="00000000000000000000"/>
    <w:charset w:val="86"/>
    <w:family w:val="roman"/>
    <w:pitch w:val="default"/>
    <w:sig w:usb0="00000000" w:usb1="00000000" w:usb2="00000010" w:usb3="00000000" w:csb0="00040000" w:csb1="00000000"/>
  </w:font>
  <w:font w:name="Segoe UI Symbol">
    <w:panose1 w:val="020B0502040204020203"/>
    <w:charset w:val="00"/>
    <w:family w:val="modern"/>
    <w:pitch w:val="default"/>
    <w:sig w:usb0="8000006F" w:usb1="1200FBEF" w:usb2="0064C000" w:usb3="00000002" w:csb0="00000001" w:csb1="40000000"/>
  </w:font>
  <w:font w:name="Segoe UI Symbol">
    <w:panose1 w:val="020B0502040204020203"/>
    <w:charset w:val="00"/>
    <w:family w:val="decorative"/>
    <w:pitch w:val="default"/>
    <w:sig w:usb0="8000006F" w:usb1="1200FBEF" w:usb2="0064C000" w:usb3="00000002" w:csb0="00000001" w:csb1="40000000"/>
  </w:font>
  <w:font w:name="..r...">
    <w:altName w:val="宋体"/>
    <w:panose1 w:val="00000000000000000000"/>
    <w:charset w:val="86"/>
    <w:family w:val="swiss"/>
    <w:pitch w:val="default"/>
    <w:sig w:usb0="00000000" w:usb1="00000000" w:usb2="00000010" w:usb3="00000000" w:csb0="00040000" w:csb1="00000000"/>
  </w:font>
  <w:font w:name="万花哥特体繁">
    <w:panose1 w:val="02010604000101010101"/>
    <w:charset w:val="86"/>
    <w:family w:val="auto"/>
    <w:pitch w:val="default"/>
    <w:sig w:usb0="00000001" w:usb1="080E0800" w:usb2="00000002"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0"/>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0"/>
      <w:spacing w:line="14" w:lineRule="auto"/>
      <w:rPr>
        <w:sz w:val="20"/>
      </w:rPr>
    </w:pPr>
    <w:r>
      <w:pict>
        <v:shape id="文本框 2" o:spid="_x0000_s2049" o:spt="202" type="#_x0000_t202" style="position:absolute;left:0pt;margin-left:291.2pt;margin-top:781.15pt;height:12pt;width:13.15pt;mso-position-horizontal-relative:page;mso-position-vertical-relative:page;z-index:-251658240;mso-width-relative:page;mso-height-relative:page;" filled="f" stroked="f" coordsize="21600,21600" o:gfxdata="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0rADM9sAAAAN&#10;AQAADwAAAAAAAAABACAAAAAiAAAAZHJzL2Rvd25yZXYueG1sUEsBAhQAFAAAAAgAh07iQNDE4dKn&#10;AQAALgMAAA4AAAAAAAAAAQAgAAAAKgEAAGRycy9lMm9Eb2MueG1sUEsFBgAAAAAGAAYAWQEAAEMF&#10;AAAAAA==&#10;">
          <v:path/>
          <v:fill on="f" focussize="0,0"/>
          <v:stroke on="f" joinstyle="miter"/>
          <v:imagedata o:title=""/>
          <o:lock v:ext="edit"/>
          <v:textbox inset="0mm,0mm,0mm,0mm">
            <w:txbxContent>
              <w:p>
                <w:pPr>
                  <w:spacing w:before="12"/>
                  <w:rPr>
                    <w:sz w:val="18"/>
                  </w:rPr>
                </w:pPr>
                <w:r>
                  <w:fldChar w:fldCharType="begin"/>
                </w:r>
                <w:r>
                  <w:rPr>
                    <w:sz w:val="18"/>
                  </w:rPr>
                  <w:instrText xml:space="preserve"> PAGE </w:instrText>
                </w:r>
                <w:r>
                  <w:fldChar w:fldCharType="separate"/>
                </w:r>
                <w:r>
                  <w:rPr>
                    <w:sz w:val="18"/>
                  </w:rPr>
                  <w:t>63</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8939437"/>
    </w:sdtPr>
    <w:sdtContent>
      <w:p>
        <w:pPr>
          <w:pStyle w:val="17"/>
          <w:jc w:val="center"/>
        </w:pPr>
        <w:r>
          <w:fldChar w:fldCharType="begin"/>
        </w:r>
        <w:r>
          <w:instrText xml:space="preserve"> PAGE   \* MERGEFORMAT </w:instrText>
        </w:r>
        <w:r>
          <w:fldChar w:fldCharType="separate"/>
        </w:r>
        <w:r>
          <w:t>64</w:t>
        </w:r>
        <w: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6"/>
  <w:drawingGridVerticalSpacing w:val="157"/>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8E3ED0"/>
    <w:rsid w:val="000001C2"/>
    <w:rsid w:val="00001F88"/>
    <w:rsid w:val="0000385D"/>
    <w:rsid w:val="00003AAB"/>
    <w:rsid w:val="00005B15"/>
    <w:rsid w:val="00007159"/>
    <w:rsid w:val="00012387"/>
    <w:rsid w:val="00012397"/>
    <w:rsid w:val="00012918"/>
    <w:rsid w:val="00014419"/>
    <w:rsid w:val="0001464A"/>
    <w:rsid w:val="00014927"/>
    <w:rsid w:val="00015A3A"/>
    <w:rsid w:val="00015B4D"/>
    <w:rsid w:val="00020B17"/>
    <w:rsid w:val="000213E0"/>
    <w:rsid w:val="000232EB"/>
    <w:rsid w:val="0002370C"/>
    <w:rsid w:val="00023D47"/>
    <w:rsid w:val="00023E09"/>
    <w:rsid w:val="00027CBE"/>
    <w:rsid w:val="00030C4E"/>
    <w:rsid w:val="00030D73"/>
    <w:rsid w:val="00031C86"/>
    <w:rsid w:val="0003306B"/>
    <w:rsid w:val="0003360F"/>
    <w:rsid w:val="0003409B"/>
    <w:rsid w:val="00034973"/>
    <w:rsid w:val="000357FE"/>
    <w:rsid w:val="00035E03"/>
    <w:rsid w:val="00036C34"/>
    <w:rsid w:val="000378A4"/>
    <w:rsid w:val="000403DA"/>
    <w:rsid w:val="0004162A"/>
    <w:rsid w:val="00041B0D"/>
    <w:rsid w:val="0004398F"/>
    <w:rsid w:val="0004525B"/>
    <w:rsid w:val="00046A17"/>
    <w:rsid w:val="00046C17"/>
    <w:rsid w:val="00047D40"/>
    <w:rsid w:val="00050363"/>
    <w:rsid w:val="000503CE"/>
    <w:rsid w:val="000506BD"/>
    <w:rsid w:val="00051E5B"/>
    <w:rsid w:val="00052991"/>
    <w:rsid w:val="00054653"/>
    <w:rsid w:val="0005501F"/>
    <w:rsid w:val="0005761F"/>
    <w:rsid w:val="00057D21"/>
    <w:rsid w:val="000613A6"/>
    <w:rsid w:val="000633CE"/>
    <w:rsid w:val="0006515E"/>
    <w:rsid w:val="000654A0"/>
    <w:rsid w:val="00065632"/>
    <w:rsid w:val="00066FEA"/>
    <w:rsid w:val="00070362"/>
    <w:rsid w:val="00071750"/>
    <w:rsid w:val="0007253C"/>
    <w:rsid w:val="00072845"/>
    <w:rsid w:val="00073490"/>
    <w:rsid w:val="00073BE3"/>
    <w:rsid w:val="000755D2"/>
    <w:rsid w:val="000760B1"/>
    <w:rsid w:val="00082427"/>
    <w:rsid w:val="00082A5F"/>
    <w:rsid w:val="00082BFD"/>
    <w:rsid w:val="0008682B"/>
    <w:rsid w:val="00086CF2"/>
    <w:rsid w:val="00087FED"/>
    <w:rsid w:val="000900AF"/>
    <w:rsid w:val="000907D3"/>
    <w:rsid w:val="00093349"/>
    <w:rsid w:val="00093434"/>
    <w:rsid w:val="000934C7"/>
    <w:rsid w:val="000936C8"/>
    <w:rsid w:val="00093DEF"/>
    <w:rsid w:val="000943D6"/>
    <w:rsid w:val="00094FF9"/>
    <w:rsid w:val="00096198"/>
    <w:rsid w:val="00097D2A"/>
    <w:rsid w:val="000A0CD2"/>
    <w:rsid w:val="000A17DA"/>
    <w:rsid w:val="000A20E4"/>
    <w:rsid w:val="000A21E8"/>
    <w:rsid w:val="000A2A78"/>
    <w:rsid w:val="000A30B9"/>
    <w:rsid w:val="000A32E0"/>
    <w:rsid w:val="000A4559"/>
    <w:rsid w:val="000A70B3"/>
    <w:rsid w:val="000A70BC"/>
    <w:rsid w:val="000A7339"/>
    <w:rsid w:val="000B0BF5"/>
    <w:rsid w:val="000B0F44"/>
    <w:rsid w:val="000B11D7"/>
    <w:rsid w:val="000B20CB"/>
    <w:rsid w:val="000B2192"/>
    <w:rsid w:val="000B3229"/>
    <w:rsid w:val="000B4E03"/>
    <w:rsid w:val="000B52E4"/>
    <w:rsid w:val="000B6F1A"/>
    <w:rsid w:val="000B7ABA"/>
    <w:rsid w:val="000C1B14"/>
    <w:rsid w:val="000C2BDC"/>
    <w:rsid w:val="000C5868"/>
    <w:rsid w:val="000C61A1"/>
    <w:rsid w:val="000D324B"/>
    <w:rsid w:val="000D327A"/>
    <w:rsid w:val="000D4D7D"/>
    <w:rsid w:val="000D5713"/>
    <w:rsid w:val="000D7FA9"/>
    <w:rsid w:val="000E06C3"/>
    <w:rsid w:val="000E0706"/>
    <w:rsid w:val="000E2D2E"/>
    <w:rsid w:val="000E3608"/>
    <w:rsid w:val="000E36B4"/>
    <w:rsid w:val="000E36F2"/>
    <w:rsid w:val="000E4B0D"/>
    <w:rsid w:val="000E609A"/>
    <w:rsid w:val="000E76FB"/>
    <w:rsid w:val="000E7A88"/>
    <w:rsid w:val="000E7B88"/>
    <w:rsid w:val="000F1289"/>
    <w:rsid w:val="000F1443"/>
    <w:rsid w:val="000F2A93"/>
    <w:rsid w:val="000F3AD6"/>
    <w:rsid w:val="000F45B5"/>
    <w:rsid w:val="000F4838"/>
    <w:rsid w:val="000F5B92"/>
    <w:rsid w:val="000F5C52"/>
    <w:rsid w:val="000F66D4"/>
    <w:rsid w:val="000F7287"/>
    <w:rsid w:val="0010100C"/>
    <w:rsid w:val="0010196D"/>
    <w:rsid w:val="001023A3"/>
    <w:rsid w:val="00104259"/>
    <w:rsid w:val="001072A9"/>
    <w:rsid w:val="001076CB"/>
    <w:rsid w:val="001100A6"/>
    <w:rsid w:val="0011083D"/>
    <w:rsid w:val="00112697"/>
    <w:rsid w:val="00112F6A"/>
    <w:rsid w:val="001133C4"/>
    <w:rsid w:val="00114144"/>
    <w:rsid w:val="00114853"/>
    <w:rsid w:val="00116425"/>
    <w:rsid w:val="00117780"/>
    <w:rsid w:val="00120578"/>
    <w:rsid w:val="001208E6"/>
    <w:rsid w:val="00120B1A"/>
    <w:rsid w:val="00121DEB"/>
    <w:rsid w:val="00121E97"/>
    <w:rsid w:val="001225DC"/>
    <w:rsid w:val="001236C3"/>
    <w:rsid w:val="00124DA3"/>
    <w:rsid w:val="001260A1"/>
    <w:rsid w:val="00127816"/>
    <w:rsid w:val="001278EC"/>
    <w:rsid w:val="00127A04"/>
    <w:rsid w:val="00130440"/>
    <w:rsid w:val="00130D93"/>
    <w:rsid w:val="00131296"/>
    <w:rsid w:val="0013521D"/>
    <w:rsid w:val="00136678"/>
    <w:rsid w:val="00141787"/>
    <w:rsid w:val="00141B07"/>
    <w:rsid w:val="00142115"/>
    <w:rsid w:val="001430EE"/>
    <w:rsid w:val="00143485"/>
    <w:rsid w:val="00144AB2"/>
    <w:rsid w:val="00147097"/>
    <w:rsid w:val="001472FC"/>
    <w:rsid w:val="00147DA3"/>
    <w:rsid w:val="00150BF4"/>
    <w:rsid w:val="00151883"/>
    <w:rsid w:val="00151F1A"/>
    <w:rsid w:val="00152D9A"/>
    <w:rsid w:val="001532A8"/>
    <w:rsid w:val="001542FA"/>
    <w:rsid w:val="00154C5D"/>
    <w:rsid w:val="00155588"/>
    <w:rsid w:val="001556D3"/>
    <w:rsid w:val="00155CF7"/>
    <w:rsid w:val="00156CC0"/>
    <w:rsid w:val="00162284"/>
    <w:rsid w:val="00162757"/>
    <w:rsid w:val="00162D04"/>
    <w:rsid w:val="00163E4A"/>
    <w:rsid w:val="001643CE"/>
    <w:rsid w:val="00164850"/>
    <w:rsid w:val="00164D89"/>
    <w:rsid w:val="00165973"/>
    <w:rsid w:val="00165F0E"/>
    <w:rsid w:val="00166E3A"/>
    <w:rsid w:val="0016773E"/>
    <w:rsid w:val="001703C9"/>
    <w:rsid w:val="0017050F"/>
    <w:rsid w:val="0017174E"/>
    <w:rsid w:val="00171752"/>
    <w:rsid w:val="001718EA"/>
    <w:rsid w:val="00174046"/>
    <w:rsid w:val="00174916"/>
    <w:rsid w:val="00174C0E"/>
    <w:rsid w:val="001777D5"/>
    <w:rsid w:val="00177C87"/>
    <w:rsid w:val="0018032A"/>
    <w:rsid w:val="001803F3"/>
    <w:rsid w:val="00180415"/>
    <w:rsid w:val="0018045F"/>
    <w:rsid w:val="00180D9A"/>
    <w:rsid w:val="001817A6"/>
    <w:rsid w:val="001823C7"/>
    <w:rsid w:val="00182C95"/>
    <w:rsid w:val="00182E09"/>
    <w:rsid w:val="00184D33"/>
    <w:rsid w:val="00185795"/>
    <w:rsid w:val="00185FD1"/>
    <w:rsid w:val="00186070"/>
    <w:rsid w:val="00186AA4"/>
    <w:rsid w:val="00186CAF"/>
    <w:rsid w:val="00187483"/>
    <w:rsid w:val="0018769B"/>
    <w:rsid w:val="00187F56"/>
    <w:rsid w:val="00190668"/>
    <w:rsid w:val="00191198"/>
    <w:rsid w:val="00191470"/>
    <w:rsid w:val="00191F2B"/>
    <w:rsid w:val="00192562"/>
    <w:rsid w:val="001954A8"/>
    <w:rsid w:val="0019646C"/>
    <w:rsid w:val="00196ACA"/>
    <w:rsid w:val="00197049"/>
    <w:rsid w:val="001A2014"/>
    <w:rsid w:val="001A2968"/>
    <w:rsid w:val="001A4827"/>
    <w:rsid w:val="001A5263"/>
    <w:rsid w:val="001A7A0C"/>
    <w:rsid w:val="001B2557"/>
    <w:rsid w:val="001B3067"/>
    <w:rsid w:val="001B330C"/>
    <w:rsid w:val="001B3579"/>
    <w:rsid w:val="001B364A"/>
    <w:rsid w:val="001B3CF8"/>
    <w:rsid w:val="001B6A96"/>
    <w:rsid w:val="001B71EB"/>
    <w:rsid w:val="001B75C9"/>
    <w:rsid w:val="001C01AA"/>
    <w:rsid w:val="001C1647"/>
    <w:rsid w:val="001C16F6"/>
    <w:rsid w:val="001C1DF1"/>
    <w:rsid w:val="001C3034"/>
    <w:rsid w:val="001C47CA"/>
    <w:rsid w:val="001C529D"/>
    <w:rsid w:val="001C55F7"/>
    <w:rsid w:val="001C5BD6"/>
    <w:rsid w:val="001C5FF1"/>
    <w:rsid w:val="001C7B27"/>
    <w:rsid w:val="001D1A2F"/>
    <w:rsid w:val="001D3839"/>
    <w:rsid w:val="001D51CD"/>
    <w:rsid w:val="001D6307"/>
    <w:rsid w:val="001D6760"/>
    <w:rsid w:val="001D6BA1"/>
    <w:rsid w:val="001D6CC5"/>
    <w:rsid w:val="001D6CD2"/>
    <w:rsid w:val="001D7C23"/>
    <w:rsid w:val="001E320D"/>
    <w:rsid w:val="001E41AE"/>
    <w:rsid w:val="001E483A"/>
    <w:rsid w:val="001E5724"/>
    <w:rsid w:val="001E5F04"/>
    <w:rsid w:val="001E5FC4"/>
    <w:rsid w:val="001F2883"/>
    <w:rsid w:val="001F290B"/>
    <w:rsid w:val="001F2AC9"/>
    <w:rsid w:val="001F2C93"/>
    <w:rsid w:val="001F2FDF"/>
    <w:rsid w:val="001F6140"/>
    <w:rsid w:val="001F645C"/>
    <w:rsid w:val="001F6E39"/>
    <w:rsid w:val="001F745D"/>
    <w:rsid w:val="001F75EE"/>
    <w:rsid w:val="00200108"/>
    <w:rsid w:val="00200DC6"/>
    <w:rsid w:val="00201A34"/>
    <w:rsid w:val="00201DB6"/>
    <w:rsid w:val="00202688"/>
    <w:rsid w:val="0020289E"/>
    <w:rsid w:val="00202975"/>
    <w:rsid w:val="00203DC7"/>
    <w:rsid w:val="002058B9"/>
    <w:rsid w:val="00205F3C"/>
    <w:rsid w:val="0020695E"/>
    <w:rsid w:val="00207044"/>
    <w:rsid w:val="00207079"/>
    <w:rsid w:val="00210822"/>
    <w:rsid w:val="0021227A"/>
    <w:rsid w:val="00212E01"/>
    <w:rsid w:val="00212FB7"/>
    <w:rsid w:val="00213813"/>
    <w:rsid w:val="00213AF4"/>
    <w:rsid w:val="00215E69"/>
    <w:rsid w:val="00216411"/>
    <w:rsid w:val="00217119"/>
    <w:rsid w:val="00220527"/>
    <w:rsid w:val="00221C26"/>
    <w:rsid w:val="002227B6"/>
    <w:rsid w:val="00225579"/>
    <w:rsid w:val="00226AF6"/>
    <w:rsid w:val="00226FCE"/>
    <w:rsid w:val="00227DF3"/>
    <w:rsid w:val="00227E94"/>
    <w:rsid w:val="00230152"/>
    <w:rsid w:val="00230C4F"/>
    <w:rsid w:val="00232854"/>
    <w:rsid w:val="002348B7"/>
    <w:rsid w:val="002354EF"/>
    <w:rsid w:val="00235F02"/>
    <w:rsid w:val="00237E5A"/>
    <w:rsid w:val="0024035A"/>
    <w:rsid w:val="00241F34"/>
    <w:rsid w:val="00242C39"/>
    <w:rsid w:val="00243288"/>
    <w:rsid w:val="00245F8C"/>
    <w:rsid w:val="002467F4"/>
    <w:rsid w:val="00246C29"/>
    <w:rsid w:val="00246D48"/>
    <w:rsid w:val="00247386"/>
    <w:rsid w:val="00247444"/>
    <w:rsid w:val="002477B7"/>
    <w:rsid w:val="00247B64"/>
    <w:rsid w:val="00247BC6"/>
    <w:rsid w:val="00250132"/>
    <w:rsid w:val="00250154"/>
    <w:rsid w:val="00253517"/>
    <w:rsid w:val="00254C52"/>
    <w:rsid w:val="00256618"/>
    <w:rsid w:val="00256EC0"/>
    <w:rsid w:val="00260F24"/>
    <w:rsid w:val="0026146C"/>
    <w:rsid w:val="0026280C"/>
    <w:rsid w:val="00262DCF"/>
    <w:rsid w:val="002648E2"/>
    <w:rsid w:val="00264D7A"/>
    <w:rsid w:val="00265417"/>
    <w:rsid w:val="00265FC0"/>
    <w:rsid w:val="00266745"/>
    <w:rsid w:val="00266A45"/>
    <w:rsid w:val="00267048"/>
    <w:rsid w:val="00267357"/>
    <w:rsid w:val="0026774A"/>
    <w:rsid w:val="002710A4"/>
    <w:rsid w:val="002719B5"/>
    <w:rsid w:val="00271D9C"/>
    <w:rsid w:val="0027287E"/>
    <w:rsid w:val="00274CC7"/>
    <w:rsid w:val="00277EE5"/>
    <w:rsid w:val="00280053"/>
    <w:rsid w:val="00281808"/>
    <w:rsid w:val="00283270"/>
    <w:rsid w:val="002844EA"/>
    <w:rsid w:val="00286E02"/>
    <w:rsid w:val="00290DA5"/>
    <w:rsid w:val="002915D7"/>
    <w:rsid w:val="00291C95"/>
    <w:rsid w:val="00291DEA"/>
    <w:rsid w:val="002934CB"/>
    <w:rsid w:val="002938B3"/>
    <w:rsid w:val="0029429D"/>
    <w:rsid w:val="00296204"/>
    <w:rsid w:val="002973CD"/>
    <w:rsid w:val="002A14BD"/>
    <w:rsid w:val="002A1729"/>
    <w:rsid w:val="002A308C"/>
    <w:rsid w:val="002A34E6"/>
    <w:rsid w:val="002A40E4"/>
    <w:rsid w:val="002A5B69"/>
    <w:rsid w:val="002B0506"/>
    <w:rsid w:val="002B0638"/>
    <w:rsid w:val="002B0E4A"/>
    <w:rsid w:val="002B1B16"/>
    <w:rsid w:val="002B328E"/>
    <w:rsid w:val="002B411E"/>
    <w:rsid w:val="002B50F2"/>
    <w:rsid w:val="002B6416"/>
    <w:rsid w:val="002B6B8B"/>
    <w:rsid w:val="002B73DA"/>
    <w:rsid w:val="002C006D"/>
    <w:rsid w:val="002C11F7"/>
    <w:rsid w:val="002C1A9C"/>
    <w:rsid w:val="002C2467"/>
    <w:rsid w:val="002C38A6"/>
    <w:rsid w:val="002C3C02"/>
    <w:rsid w:val="002C423D"/>
    <w:rsid w:val="002C4E2C"/>
    <w:rsid w:val="002C5D25"/>
    <w:rsid w:val="002C5E6F"/>
    <w:rsid w:val="002C6293"/>
    <w:rsid w:val="002D038C"/>
    <w:rsid w:val="002D13CA"/>
    <w:rsid w:val="002D26A5"/>
    <w:rsid w:val="002D4AE0"/>
    <w:rsid w:val="002D5631"/>
    <w:rsid w:val="002D5F92"/>
    <w:rsid w:val="002D68C8"/>
    <w:rsid w:val="002E21EF"/>
    <w:rsid w:val="002E2BBD"/>
    <w:rsid w:val="002E368F"/>
    <w:rsid w:val="002E36D3"/>
    <w:rsid w:val="002E3935"/>
    <w:rsid w:val="002E3D5A"/>
    <w:rsid w:val="002E46D8"/>
    <w:rsid w:val="002E4BB7"/>
    <w:rsid w:val="002E5165"/>
    <w:rsid w:val="002E661D"/>
    <w:rsid w:val="002E7B1C"/>
    <w:rsid w:val="002E7E4C"/>
    <w:rsid w:val="002F1D84"/>
    <w:rsid w:val="002F4ABD"/>
    <w:rsid w:val="002F5C60"/>
    <w:rsid w:val="002F6670"/>
    <w:rsid w:val="002F6BC1"/>
    <w:rsid w:val="002F6CCF"/>
    <w:rsid w:val="002F6D68"/>
    <w:rsid w:val="003000DF"/>
    <w:rsid w:val="00301454"/>
    <w:rsid w:val="0030206D"/>
    <w:rsid w:val="0030209C"/>
    <w:rsid w:val="003021CD"/>
    <w:rsid w:val="003027FB"/>
    <w:rsid w:val="00304295"/>
    <w:rsid w:val="00304853"/>
    <w:rsid w:val="00304889"/>
    <w:rsid w:val="00304B39"/>
    <w:rsid w:val="00305812"/>
    <w:rsid w:val="00307047"/>
    <w:rsid w:val="0031085B"/>
    <w:rsid w:val="003117E9"/>
    <w:rsid w:val="00311B10"/>
    <w:rsid w:val="00312756"/>
    <w:rsid w:val="00312E15"/>
    <w:rsid w:val="00313E6B"/>
    <w:rsid w:val="00313EC1"/>
    <w:rsid w:val="003142AE"/>
    <w:rsid w:val="00314637"/>
    <w:rsid w:val="0031579E"/>
    <w:rsid w:val="00323B63"/>
    <w:rsid w:val="00325E72"/>
    <w:rsid w:val="003262E0"/>
    <w:rsid w:val="00327AB4"/>
    <w:rsid w:val="00330455"/>
    <w:rsid w:val="00330DA6"/>
    <w:rsid w:val="00330F3D"/>
    <w:rsid w:val="00333187"/>
    <w:rsid w:val="00333632"/>
    <w:rsid w:val="0033394F"/>
    <w:rsid w:val="00335C79"/>
    <w:rsid w:val="00336261"/>
    <w:rsid w:val="0033667F"/>
    <w:rsid w:val="00337BE0"/>
    <w:rsid w:val="0034060B"/>
    <w:rsid w:val="003428A6"/>
    <w:rsid w:val="00342DF1"/>
    <w:rsid w:val="00343E1D"/>
    <w:rsid w:val="00343FE1"/>
    <w:rsid w:val="003448A4"/>
    <w:rsid w:val="003450AF"/>
    <w:rsid w:val="003456AC"/>
    <w:rsid w:val="00345CE9"/>
    <w:rsid w:val="0034684F"/>
    <w:rsid w:val="00346A27"/>
    <w:rsid w:val="00346B07"/>
    <w:rsid w:val="00347F6B"/>
    <w:rsid w:val="003508F2"/>
    <w:rsid w:val="00352CB1"/>
    <w:rsid w:val="00353318"/>
    <w:rsid w:val="00353C35"/>
    <w:rsid w:val="00353D32"/>
    <w:rsid w:val="00355F08"/>
    <w:rsid w:val="00357B62"/>
    <w:rsid w:val="00360DE6"/>
    <w:rsid w:val="00360EDF"/>
    <w:rsid w:val="003616D5"/>
    <w:rsid w:val="00362063"/>
    <w:rsid w:val="003631D4"/>
    <w:rsid w:val="00363B10"/>
    <w:rsid w:val="00364246"/>
    <w:rsid w:val="00366B1F"/>
    <w:rsid w:val="00370D88"/>
    <w:rsid w:val="003725A0"/>
    <w:rsid w:val="003733CD"/>
    <w:rsid w:val="00373541"/>
    <w:rsid w:val="00373BB0"/>
    <w:rsid w:val="00373FDA"/>
    <w:rsid w:val="0037473E"/>
    <w:rsid w:val="00377299"/>
    <w:rsid w:val="00377CAA"/>
    <w:rsid w:val="003801FD"/>
    <w:rsid w:val="0038286E"/>
    <w:rsid w:val="003856DD"/>
    <w:rsid w:val="003859CF"/>
    <w:rsid w:val="00386DAE"/>
    <w:rsid w:val="003872FA"/>
    <w:rsid w:val="00387905"/>
    <w:rsid w:val="003917D2"/>
    <w:rsid w:val="00392F12"/>
    <w:rsid w:val="0039643F"/>
    <w:rsid w:val="00397321"/>
    <w:rsid w:val="003979D1"/>
    <w:rsid w:val="00397B62"/>
    <w:rsid w:val="003A0569"/>
    <w:rsid w:val="003A1717"/>
    <w:rsid w:val="003A176C"/>
    <w:rsid w:val="003A2240"/>
    <w:rsid w:val="003A3C46"/>
    <w:rsid w:val="003A4205"/>
    <w:rsid w:val="003A43A6"/>
    <w:rsid w:val="003A5360"/>
    <w:rsid w:val="003A62F1"/>
    <w:rsid w:val="003A67AF"/>
    <w:rsid w:val="003A6A40"/>
    <w:rsid w:val="003A6F82"/>
    <w:rsid w:val="003B0A26"/>
    <w:rsid w:val="003B0AAD"/>
    <w:rsid w:val="003B0C95"/>
    <w:rsid w:val="003B1139"/>
    <w:rsid w:val="003B14E9"/>
    <w:rsid w:val="003B16F4"/>
    <w:rsid w:val="003B3B92"/>
    <w:rsid w:val="003B7506"/>
    <w:rsid w:val="003B7621"/>
    <w:rsid w:val="003C0763"/>
    <w:rsid w:val="003C3F48"/>
    <w:rsid w:val="003C4972"/>
    <w:rsid w:val="003C4FFF"/>
    <w:rsid w:val="003D0C06"/>
    <w:rsid w:val="003D2038"/>
    <w:rsid w:val="003D2231"/>
    <w:rsid w:val="003D2EB4"/>
    <w:rsid w:val="003D3A37"/>
    <w:rsid w:val="003D3C2D"/>
    <w:rsid w:val="003D3EA7"/>
    <w:rsid w:val="003D48E6"/>
    <w:rsid w:val="003D4B47"/>
    <w:rsid w:val="003D5014"/>
    <w:rsid w:val="003D608E"/>
    <w:rsid w:val="003D6E6B"/>
    <w:rsid w:val="003D710E"/>
    <w:rsid w:val="003D7156"/>
    <w:rsid w:val="003E036B"/>
    <w:rsid w:val="003E0953"/>
    <w:rsid w:val="003E1EF1"/>
    <w:rsid w:val="003E4734"/>
    <w:rsid w:val="003E4753"/>
    <w:rsid w:val="003E505B"/>
    <w:rsid w:val="003E5250"/>
    <w:rsid w:val="003E6298"/>
    <w:rsid w:val="003E6D84"/>
    <w:rsid w:val="003E6E25"/>
    <w:rsid w:val="003E7A11"/>
    <w:rsid w:val="003F00EC"/>
    <w:rsid w:val="003F0248"/>
    <w:rsid w:val="003F07AB"/>
    <w:rsid w:val="003F0991"/>
    <w:rsid w:val="003F1225"/>
    <w:rsid w:val="003F1D8C"/>
    <w:rsid w:val="003F234A"/>
    <w:rsid w:val="003F2750"/>
    <w:rsid w:val="003F47F8"/>
    <w:rsid w:val="003F4D4E"/>
    <w:rsid w:val="003F5240"/>
    <w:rsid w:val="003F596E"/>
    <w:rsid w:val="003F6327"/>
    <w:rsid w:val="003F76EE"/>
    <w:rsid w:val="00400B81"/>
    <w:rsid w:val="00403A82"/>
    <w:rsid w:val="00404DE9"/>
    <w:rsid w:val="00405C91"/>
    <w:rsid w:val="00406163"/>
    <w:rsid w:val="00407CF8"/>
    <w:rsid w:val="00410363"/>
    <w:rsid w:val="004109DF"/>
    <w:rsid w:val="00411298"/>
    <w:rsid w:val="00411E02"/>
    <w:rsid w:val="00411EB9"/>
    <w:rsid w:val="00411F37"/>
    <w:rsid w:val="004135EA"/>
    <w:rsid w:val="00414326"/>
    <w:rsid w:val="004149FB"/>
    <w:rsid w:val="00416F82"/>
    <w:rsid w:val="0042149B"/>
    <w:rsid w:val="00422019"/>
    <w:rsid w:val="004237BA"/>
    <w:rsid w:val="0042609E"/>
    <w:rsid w:val="00426903"/>
    <w:rsid w:val="00426C41"/>
    <w:rsid w:val="00426EBE"/>
    <w:rsid w:val="004272FE"/>
    <w:rsid w:val="00430EF6"/>
    <w:rsid w:val="00430FAA"/>
    <w:rsid w:val="00431F0A"/>
    <w:rsid w:val="00431FD0"/>
    <w:rsid w:val="00434246"/>
    <w:rsid w:val="00434EEA"/>
    <w:rsid w:val="004360AF"/>
    <w:rsid w:val="004361BA"/>
    <w:rsid w:val="00436F33"/>
    <w:rsid w:val="004414E8"/>
    <w:rsid w:val="0044200C"/>
    <w:rsid w:val="0044212C"/>
    <w:rsid w:val="004477BD"/>
    <w:rsid w:val="004477D5"/>
    <w:rsid w:val="00447BB2"/>
    <w:rsid w:val="0045008E"/>
    <w:rsid w:val="0045052E"/>
    <w:rsid w:val="00450A04"/>
    <w:rsid w:val="00450F11"/>
    <w:rsid w:val="00451E0A"/>
    <w:rsid w:val="00452E95"/>
    <w:rsid w:val="00455F6E"/>
    <w:rsid w:val="00456E2E"/>
    <w:rsid w:val="004606A2"/>
    <w:rsid w:val="00460D84"/>
    <w:rsid w:val="00461D81"/>
    <w:rsid w:val="0046300D"/>
    <w:rsid w:val="00463533"/>
    <w:rsid w:val="00463A8B"/>
    <w:rsid w:val="00463D23"/>
    <w:rsid w:val="00463ED9"/>
    <w:rsid w:val="004659E6"/>
    <w:rsid w:val="00465F48"/>
    <w:rsid w:val="00466171"/>
    <w:rsid w:val="004671F5"/>
    <w:rsid w:val="00467F0A"/>
    <w:rsid w:val="00467FA8"/>
    <w:rsid w:val="004704A9"/>
    <w:rsid w:val="00471408"/>
    <w:rsid w:val="004718E6"/>
    <w:rsid w:val="00471C48"/>
    <w:rsid w:val="0047244F"/>
    <w:rsid w:val="0047267D"/>
    <w:rsid w:val="0047332F"/>
    <w:rsid w:val="00474CC1"/>
    <w:rsid w:val="0047637E"/>
    <w:rsid w:val="00476D3B"/>
    <w:rsid w:val="00476D82"/>
    <w:rsid w:val="00480158"/>
    <w:rsid w:val="00480484"/>
    <w:rsid w:val="00481334"/>
    <w:rsid w:val="00482191"/>
    <w:rsid w:val="00485B8D"/>
    <w:rsid w:val="0048779E"/>
    <w:rsid w:val="00487A89"/>
    <w:rsid w:val="00497A8B"/>
    <w:rsid w:val="004A01F0"/>
    <w:rsid w:val="004A3811"/>
    <w:rsid w:val="004A3B73"/>
    <w:rsid w:val="004A5D1D"/>
    <w:rsid w:val="004A63B1"/>
    <w:rsid w:val="004A6F11"/>
    <w:rsid w:val="004A6F85"/>
    <w:rsid w:val="004A7599"/>
    <w:rsid w:val="004A772F"/>
    <w:rsid w:val="004B09B6"/>
    <w:rsid w:val="004B14E1"/>
    <w:rsid w:val="004B2FFD"/>
    <w:rsid w:val="004B72D0"/>
    <w:rsid w:val="004C04A9"/>
    <w:rsid w:val="004C0585"/>
    <w:rsid w:val="004C0D37"/>
    <w:rsid w:val="004C16C3"/>
    <w:rsid w:val="004C4410"/>
    <w:rsid w:val="004C5912"/>
    <w:rsid w:val="004C73E5"/>
    <w:rsid w:val="004D0E22"/>
    <w:rsid w:val="004D4978"/>
    <w:rsid w:val="004D6DD5"/>
    <w:rsid w:val="004E02DF"/>
    <w:rsid w:val="004E11BE"/>
    <w:rsid w:val="004E14E9"/>
    <w:rsid w:val="004E2368"/>
    <w:rsid w:val="004E2B3D"/>
    <w:rsid w:val="004E3155"/>
    <w:rsid w:val="004E3AF4"/>
    <w:rsid w:val="004E3CF0"/>
    <w:rsid w:val="004E4598"/>
    <w:rsid w:val="004E4D72"/>
    <w:rsid w:val="004E50DF"/>
    <w:rsid w:val="004E649C"/>
    <w:rsid w:val="004E7E42"/>
    <w:rsid w:val="004F055A"/>
    <w:rsid w:val="004F1367"/>
    <w:rsid w:val="004F260E"/>
    <w:rsid w:val="004F2C34"/>
    <w:rsid w:val="004F37AA"/>
    <w:rsid w:val="004F3A9E"/>
    <w:rsid w:val="004F3B84"/>
    <w:rsid w:val="004F46B3"/>
    <w:rsid w:val="004F4869"/>
    <w:rsid w:val="004F4BDB"/>
    <w:rsid w:val="004F4EFA"/>
    <w:rsid w:val="00500FD9"/>
    <w:rsid w:val="00501B19"/>
    <w:rsid w:val="005024A7"/>
    <w:rsid w:val="00502781"/>
    <w:rsid w:val="00504549"/>
    <w:rsid w:val="00504FB9"/>
    <w:rsid w:val="00510B1A"/>
    <w:rsid w:val="00510D36"/>
    <w:rsid w:val="00511944"/>
    <w:rsid w:val="00513D06"/>
    <w:rsid w:val="00513D1C"/>
    <w:rsid w:val="00513F46"/>
    <w:rsid w:val="00514E86"/>
    <w:rsid w:val="00517C15"/>
    <w:rsid w:val="00517DA4"/>
    <w:rsid w:val="00520A2D"/>
    <w:rsid w:val="00523BD1"/>
    <w:rsid w:val="005245FC"/>
    <w:rsid w:val="005250D0"/>
    <w:rsid w:val="00525CB4"/>
    <w:rsid w:val="00525CC1"/>
    <w:rsid w:val="00526F4C"/>
    <w:rsid w:val="0052710C"/>
    <w:rsid w:val="005279DE"/>
    <w:rsid w:val="00527D00"/>
    <w:rsid w:val="00531ADA"/>
    <w:rsid w:val="005322D4"/>
    <w:rsid w:val="0053511D"/>
    <w:rsid w:val="00535E27"/>
    <w:rsid w:val="00535E80"/>
    <w:rsid w:val="00536073"/>
    <w:rsid w:val="005365C2"/>
    <w:rsid w:val="0053771E"/>
    <w:rsid w:val="00537FB5"/>
    <w:rsid w:val="005400C0"/>
    <w:rsid w:val="00540C64"/>
    <w:rsid w:val="00542854"/>
    <w:rsid w:val="0054312B"/>
    <w:rsid w:val="005439EE"/>
    <w:rsid w:val="00545363"/>
    <w:rsid w:val="005474A0"/>
    <w:rsid w:val="005477A3"/>
    <w:rsid w:val="005478C6"/>
    <w:rsid w:val="00550617"/>
    <w:rsid w:val="005526E3"/>
    <w:rsid w:val="00552F26"/>
    <w:rsid w:val="00553510"/>
    <w:rsid w:val="0055423F"/>
    <w:rsid w:val="00556B52"/>
    <w:rsid w:val="00556F22"/>
    <w:rsid w:val="00557DC7"/>
    <w:rsid w:val="00560242"/>
    <w:rsid w:val="00560855"/>
    <w:rsid w:val="005614AB"/>
    <w:rsid w:val="00561517"/>
    <w:rsid w:val="005634CC"/>
    <w:rsid w:val="005634D6"/>
    <w:rsid w:val="00566622"/>
    <w:rsid w:val="0056685D"/>
    <w:rsid w:val="00566EBF"/>
    <w:rsid w:val="00574695"/>
    <w:rsid w:val="00576142"/>
    <w:rsid w:val="005779B5"/>
    <w:rsid w:val="0058010F"/>
    <w:rsid w:val="00580926"/>
    <w:rsid w:val="0058156A"/>
    <w:rsid w:val="00582CCA"/>
    <w:rsid w:val="00584ADD"/>
    <w:rsid w:val="00590C9E"/>
    <w:rsid w:val="00590E93"/>
    <w:rsid w:val="0059469C"/>
    <w:rsid w:val="00594CE0"/>
    <w:rsid w:val="005976D7"/>
    <w:rsid w:val="00597AEA"/>
    <w:rsid w:val="005A0617"/>
    <w:rsid w:val="005A06B4"/>
    <w:rsid w:val="005A11ED"/>
    <w:rsid w:val="005A1821"/>
    <w:rsid w:val="005A1E22"/>
    <w:rsid w:val="005A4E79"/>
    <w:rsid w:val="005A5A52"/>
    <w:rsid w:val="005A71AF"/>
    <w:rsid w:val="005B00E6"/>
    <w:rsid w:val="005B0E43"/>
    <w:rsid w:val="005B1A89"/>
    <w:rsid w:val="005B20C1"/>
    <w:rsid w:val="005B2A00"/>
    <w:rsid w:val="005B41AF"/>
    <w:rsid w:val="005B4AB9"/>
    <w:rsid w:val="005B5C1E"/>
    <w:rsid w:val="005B5EC2"/>
    <w:rsid w:val="005B5F93"/>
    <w:rsid w:val="005B6D0F"/>
    <w:rsid w:val="005B7166"/>
    <w:rsid w:val="005B76C6"/>
    <w:rsid w:val="005B7AEC"/>
    <w:rsid w:val="005B7D01"/>
    <w:rsid w:val="005C021C"/>
    <w:rsid w:val="005C0F73"/>
    <w:rsid w:val="005C1404"/>
    <w:rsid w:val="005C1E1F"/>
    <w:rsid w:val="005C24E1"/>
    <w:rsid w:val="005C2DB8"/>
    <w:rsid w:val="005C402F"/>
    <w:rsid w:val="005C5648"/>
    <w:rsid w:val="005C7C0B"/>
    <w:rsid w:val="005D0C02"/>
    <w:rsid w:val="005D17F1"/>
    <w:rsid w:val="005D375C"/>
    <w:rsid w:val="005D4413"/>
    <w:rsid w:val="005D4DF9"/>
    <w:rsid w:val="005D61E3"/>
    <w:rsid w:val="005D7376"/>
    <w:rsid w:val="005E0A14"/>
    <w:rsid w:val="005E2707"/>
    <w:rsid w:val="005E2D1A"/>
    <w:rsid w:val="005E6E41"/>
    <w:rsid w:val="005F04A9"/>
    <w:rsid w:val="005F0F21"/>
    <w:rsid w:val="005F2081"/>
    <w:rsid w:val="005F32DC"/>
    <w:rsid w:val="005F4AC8"/>
    <w:rsid w:val="005F6A81"/>
    <w:rsid w:val="005F6BD6"/>
    <w:rsid w:val="005F703F"/>
    <w:rsid w:val="00600133"/>
    <w:rsid w:val="0060121C"/>
    <w:rsid w:val="00601616"/>
    <w:rsid w:val="006019F3"/>
    <w:rsid w:val="00601B20"/>
    <w:rsid w:val="00602DF8"/>
    <w:rsid w:val="0060303F"/>
    <w:rsid w:val="006034C6"/>
    <w:rsid w:val="00603C0B"/>
    <w:rsid w:val="00603C70"/>
    <w:rsid w:val="0060684F"/>
    <w:rsid w:val="00607BE0"/>
    <w:rsid w:val="006108CE"/>
    <w:rsid w:val="00611480"/>
    <w:rsid w:val="006129A7"/>
    <w:rsid w:val="00613500"/>
    <w:rsid w:val="006149BF"/>
    <w:rsid w:val="00615510"/>
    <w:rsid w:val="00617028"/>
    <w:rsid w:val="0061766D"/>
    <w:rsid w:val="006216A1"/>
    <w:rsid w:val="006216A2"/>
    <w:rsid w:val="0062176A"/>
    <w:rsid w:val="00622FBF"/>
    <w:rsid w:val="006236AB"/>
    <w:rsid w:val="00624847"/>
    <w:rsid w:val="00625140"/>
    <w:rsid w:val="0063144E"/>
    <w:rsid w:val="006323C2"/>
    <w:rsid w:val="00633FBD"/>
    <w:rsid w:val="00634102"/>
    <w:rsid w:val="006341D1"/>
    <w:rsid w:val="006346E8"/>
    <w:rsid w:val="0063517A"/>
    <w:rsid w:val="006360FF"/>
    <w:rsid w:val="00640338"/>
    <w:rsid w:val="00642B69"/>
    <w:rsid w:val="0064449A"/>
    <w:rsid w:val="006447AA"/>
    <w:rsid w:val="006451D9"/>
    <w:rsid w:val="00645F27"/>
    <w:rsid w:val="00646C9E"/>
    <w:rsid w:val="00647D3D"/>
    <w:rsid w:val="00650255"/>
    <w:rsid w:val="00650294"/>
    <w:rsid w:val="0065160C"/>
    <w:rsid w:val="00652DC9"/>
    <w:rsid w:val="00653026"/>
    <w:rsid w:val="00653E9C"/>
    <w:rsid w:val="00654F9D"/>
    <w:rsid w:val="00657708"/>
    <w:rsid w:val="00660836"/>
    <w:rsid w:val="00661A5A"/>
    <w:rsid w:val="0066255A"/>
    <w:rsid w:val="00662DB0"/>
    <w:rsid w:val="00662EC4"/>
    <w:rsid w:val="006632AD"/>
    <w:rsid w:val="00663517"/>
    <w:rsid w:val="0066379E"/>
    <w:rsid w:val="006639BD"/>
    <w:rsid w:val="006644D9"/>
    <w:rsid w:val="0066508B"/>
    <w:rsid w:val="00665B40"/>
    <w:rsid w:val="00666A4F"/>
    <w:rsid w:val="00666CF2"/>
    <w:rsid w:val="00666EF3"/>
    <w:rsid w:val="00670E00"/>
    <w:rsid w:val="00671203"/>
    <w:rsid w:val="006717CA"/>
    <w:rsid w:val="00671E6E"/>
    <w:rsid w:val="0067284A"/>
    <w:rsid w:val="00673D60"/>
    <w:rsid w:val="006745C0"/>
    <w:rsid w:val="00676084"/>
    <w:rsid w:val="00677025"/>
    <w:rsid w:val="00677233"/>
    <w:rsid w:val="00682D5C"/>
    <w:rsid w:val="00683864"/>
    <w:rsid w:val="00686935"/>
    <w:rsid w:val="006872A7"/>
    <w:rsid w:val="00690D3F"/>
    <w:rsid w:val="00691AAB"/>
    <w:rsid w:val="00691D91"/>
    <w:rsid w:val="00693161"/>
    <w:rsid w:val="00695627"/>
    <w:rsid w:val="00696A62"/>
    <w:rsid w:val="00697675"/>
    <w:rsid w:val="006A017F"/>
    <w:rsid w:val="006A0C0E"/>
    <w:rsid w:val="006A1DAE"/>
    <w:rsid w:val="006A2D90"/>
    <w:rsid w:val="006A589A"/>
    <w:rsid w:val="006A5CE6"/>
    <w:rsid w:val="006A6E2F"/>
    <w:rsid w:val="006A7270"/>
    <w:rsid w:val="006A7B23"/>
    <w:rsid w:val="006A7C76"/>
    <w:rsid w:val="006B075E"/>
    <w:rsid w:val="006B1099"/>
    <w:rsid w:val="006B11FE"/>
    <w:rsid w:val="006B1D48"/>
    <w:rsid w:val="006B25C0"/>
    <w:rsid w:val="006B27AF"/>
    <w:rsid w:val="006B3F19"/>
    <w:rsid w:val="006B446F"/>
    <w:rsid w:val="006B44E1"/>
    <w:rsid w:val="006B516E"/>
    <w:rsid w:val="006B5335"/>
    <w:rsid w:val="006B59D3"/>
    <w:rsid w:val="006B6372"/>
    <w:rsid w:val="006B6DB5"/>
    <w:rsid w:val="006B7575"/>
    <w:rsid w:val="006C029C"/>
    <w:rsid w:val="006C2290"/>
    <w:rsid w:val="006C2689"/>
    <w:rsid w:val="006C2DF2"/>
    <w:rsid w:val="006C52C2"/>
    <w:rsid w:val="006C7CFE"/>
    <w:rsid w:val="006D14DD"/>
    <w:rsid w:val="006D1C7B"/>
    <w:rsid w:val="006D21A8"/>
    <w:rsid w:val="006D26B4"/>
    <w:rsid w:val="006D443E"/>
    <w:rsid w:val="006D51CE"/>
    <w:rsid w:val="006D5591"/>
    <w:rsid w:val="006D6E21"/>
    <w:rsid w:val="006D6F9B"/>
    <w:rsid w:val="006D7A53"/>
    <w:rsid w:val="006E028D"/>
    <w:rsid w:val="006E09EA"/>
    <w:rsid w:val="006E1E64"/>
    <w:rsid w:val="006E25C4"/>
    <w:rsid w:val="006E2F06"/>
    <w:rsid w:val="006E394F"/>
    <w:rsid w:val="006E3E8A"/>
    <w:rsid w:val="006E45E7"/>
    <w:rsid w:val="006E4B67"/>
    <w:rsid w:val="006E6643"/>
    <w:rsid w:val="006E7292"/>
    <w:rsid w:val="006E7625"/>
    <w:rsid w:val="006F06C1"/>
    <w:rsid w:val="006F2D8F"/>
    <w:rsid w:val="006F338E"/>
    <w:rsid w:val="006F4CE2"/>
    <w:rsid w:val="006F4D3C"/>
    <w:rsid w:val="006F512A"/>
    <w:rsid w:val="006F5799"/>
    <w:rsid w:val="006F57D4"/>
    <w:rsid w:val="006F6DA9"/>
    <w:rsid w:val="006F7483"/>
    <w:rsid w:val="0070018C"/>
    <w:rsid w:val="00700532"/>
    <w:rsid w:val="007007FB"/>
    <w:rsid w:val="00700995"/>
    <w:rsid w:val="00701835"/>
    <w:rsid w:val="00702144"/>
    <w:rsid w:val="00703161"/>
    <w:rsid w:val="007047E9"/>
    <w:rsid w:val="00704F4E"/>
    <w:rsid w:val="00705242"/>
    <w:rsid w:val="00705604"/>
    <w:rsid w:val="0070624A"/>
    <w:rsid w:val="00706B7F"/>
    <w:rsid w:val="00710450"/>
    <w:rsid w:val="007127DF"/>
    <w:rsid w:val="007133F6"/>
    <w:rsid w:val="00713758"/>
    <w:rsid w:val="0071380C"/>
    <w:rsid w:val="00713F32"/>
    <w:rsid w:val="00714736"/>
    <w:rsid w:val="00715217"/>
    <w:rsid w:val="00715DE6"/>
    <w:rsid w:val="00715FF9"/>
    <w:rsid w:val="00716651"/>
    <w:rsid w:val="00716EC3"/>
    <w:rsid w:val="00717C89"/>
    <w:rsid w:val="00721013"/>
    <w:rsid w:val="00721D8F"/>
    <w:rsid w:val="0072202C"/>
    <w:rsid w:val="00722666"/>
    <w:rsid w:val="00723070"/>
    <w:rsid w:val="0072585C"/>
    <w:rsid w:val="00725E5E"/>
    <w:rsid w:val="00727A69"/>
    <w:rsid w:val="0073155B"/>
    <w:rsid w:val="007317DA"/>
    <w:rsid w:val="007333FC"/>
    <w:rsid w:val="00733660"/>
    <w:rsid w:val="00733BA8"/>
    <w:rsid w:val="0073618D"/>
    <w:rsid w:val="00737810"/>
    <w:rsid w:val="00740BA9"/>
    <w:rsid w:val="0074158B"/>
    <w:rsid w:val="007425FB"/>
    <w:rsid w:val="0074296B"/>
    <w:rsid w:val="00744738"/>
    <w:rsid w:val="00744A86"/>
    <w:rsid w:val="00744AE9"/>
    <w:rsid w:val="00744C26"/>
    <w:rsid w:val="00746017"/>
    <w:rsid w:val="007479B3"/>
    <w:rsid w:val="00750C33"/>
    <w:rsid w:val="00750D86"/>
    <w:rsid w:val="0075187C"/>
    <w:rsid w:val="00752056"/>
    <w:rsid w:val="00752FD5"/>
    <w:rsid w:val="00753DA8"/>
    <w:rsid w:val="007543F5"/>
    <w:rsid w:val="00755906"/>
    <w:rsid w:val="007566A4"/>
    <w:rsid w:val="00756A47"/>
    <w:rsid w:val="00760B78"/>
    <w:rsid w:val="00760FBD"/>
    <w:rsid w:val="00762D47"/>
    <w:rsid w:val="00763F42"/>
    <w:rsid w:val="00770132"/>
    <w:rsid w:val="00770DD1"/>
    <w:rsid w:val="007711B1"/>
    <w:rsid w:val="00771E42"/>
    <w:rsid w:val="007722ED"/>
    <w:rsid w:val="00772FEA"/>
    <w:rsid w:val="00774997"/>
    <w:rsid w:val="00774F75"/>
    <w:rsid w:val="00775739"/>
    <w:rsid w:val="00781AF0"/>
    <w:rsid w:val="00782E9A"/>
    <w:rsid w:val="00783696"/>
    <w:rsid w:val="007839BE"/>
    <w:rsid w:val="00783B06"/>
    <w:rsid w:val="00783F60"/>
    <w:rsid w:val="00784EFB"/>
    <w:rsid w:val="00785356"/>
    <w:rsid w:val="0078586E"/>
    <w:rsid w:val="00785BA1"/>
    <w:rsid w:val="0078615D"/>
    <w:rsid w:val="00786296"/>
    <w:rsid w:val="0078796F"/>
    <w:rsid w:val="0079096D"/>
    <w:rsid w:val="0079113B"/>
    <w:rsid w:val="007912EA"/>
    <w:rsid w:val="00793826"/>
    <w:rsid w:val="00794092"/>
    <w:rsid w:val="0079564B"/>
    <w:rsid w:val="00796C46"/>
    <w:rsid w:val="007A06B3"/>
    <w:rsid w:val="007A0B55"/>
    <w:rsid w:val="007A114E"/>
    <w:rsid w:val="007A2104"/>
    <w:rsid w:val="007A24B9"/>
    <w:rsid w:val="007A261D"/>
    <w:rsid w:val="007A2DED"/>
    <w:rsid w:val="007A4448"/>
    <w:rsid w:val="007A5085"/>
    <w:rsid w:val="007A5B74"/>
    <w:rsid w:val="007B0D3C"/>
    <w:rsid w:val="007B0E04"/>
    <w:rsid w:val="007B239C"/>
    <w:rsid w:val="007B38E1"/>
    <w:rsid w:val="007B3CF5"/>
    <w:rsid w:val="007B5809"/>
    <w:rsid w:val="007B6003"/>
    <w:rsid w:val="007B61CE"/>
    <w:rsid w:val="007C12FA"/>
    <w:rsid w:val="007C1CE4"/>
    <w:rsid w:val="007C3B13"/>
    <w:rsid w:val="007C3B4B"/>
    <w:rsid w:val="007C5C9F"/>
    <w:rsid w:val="007C6BDB"/>
    <w:rsid w:val="007C70EA"/>
    <w:rsid w:val="007D0A73"/>
    <w:rsid w:val="007D0AE4"/>
    <w:rsid w:val="007D1D32"/>
    <w:rsid w:val="007D2D01"/>
    <w:rsid w:val="007D3A2F"/>
    <w:rsid w:val="007D3ECD"/>
    <w:rsid w:val="007D5B24"/>
    <w:rsid w:val="007D5E9D"/>
    <w:rsid w:val="007D6DAC"/>
    <w:rsid w:val="007D75EA"/>
    <w:rsid w:val="007D7CE7"/>
    <w:rsid w:val="007D7E5D"/>
    <w:rsid w:val="007E005C"/>
    <w:rsid w:val="007E1151"/>
    <w:rsid w:val="007E1F96"/>
    <w:rsid w:val="007E2665"/>
    <w:rsid w:val="007E35C6"/>
    <w:rsid w:val="007E47B9"/>
    <w:rsid w:val="007F0256"/>
    <w:rsid w:val="007F0963"/>
    <w:rsid w:val="007F4119"/>
    <w:rsid w:val="007F5A25"/>
    <w:rsid w:val="007F650B"/>
    <w:rsid w:val="007F71AA"/>
    <w:rsid w:val="00800305"/>
    <w:rsid w:val="008024F0"/>
    <w:rsid w:val="0080460D"/>
    <w:rsid w:val="00805C5F"/>
    <w:rsid w:val="008068D6"/>
    <w:rsid w:val="00810C1F"/>
    <w:rsid w:val="00811037"/>
    <w:rsid w:val="008116AE"/>
    <w:rsid w:val="008124C3"/>
    <w:rsid w:val="008132CA"/>
    <w:rsid w:val="0081772C"/>
    <w:rsid w:val="008210A4"/>
    <w:rsid w:val="008229E0"/>
    <w:rsid w:val="00822F42"/>
    <w:rsid w:val="00823AB4"/>
    <w:rsid w:val="008247CB"/>
    <w:rsid w:val="00825137"/>
    <w:rsid w:val="00826B2E"/>
    <w:rsid w:val="00826F71"/>
    <w:rsid w:val="008275BC"/>
    <w:rsid w:val="00827CE8"/>
    <w:rsid w:val="00830BF4"/>
    <w:rsid w:val="008348D2"/>
    <w:rsid w:val="00835DB6"/>
    <w:rsid w:val="008409EB"/>
    <w:rsid w:val="00840AD6"/>
    <w:rsid w:val="008416CE"/>
    <w:rsid w:val="00842A3B"/>
    <w:rsid w:val="00843F0F"/>
    <w:rsid w:val="00843FA3"/>
    <w:rsid w:val="008451BC"/>
    <w:rsid w:val="00846167"/>
    <w:rsid w:val="00850C9F"/>
    <w:rsid w:val="00851576"/>
    <w:rsid w:val="00851E6C"/>
    <w:rsid w:val="00851F39"/>
    <w:rsid w:val="00851F4A"/>
    <w:rsid w:val="008520CA"/>
    <w:rsid w:val="008522C9"/>
    <w:rsid w:val="0085324A"/>
    <w:rsid w:val="0085417F"/>
    <w:rsid w:val="00854E1C"/>
    <w:rsid w:val="00855199"/>
    <w:rsid w:val="008558AA"/>
    <w:rsid w:val="00855BF4"/>
    <w:rsid w:val="00856D09"/>
    <w:rsid w:val="00860212"/>
    <w:rsid w:val="00860581"/>
    <w:rsid w:val="0086101A"/>
    <w:rsid w:val="008641EE"/>
    <w:rsid w:val="008650A5"/>
    <w:rsid w:val="00865901"/>
    <w:rsid w:val="008704A1"/>
    <w:rsid w:val="008715BE"/>
    <w:rsid w:val="008725A1"/>
    <w:rsid w:val="0087398D"/>
    <w:rsid w:val="0087401E"/>
    <w:rsid w:val="0087414F"/>
    <w:rsid w:val="00874A5B"/>
    <w:rsid w:val="00875656"/>
    <w:rsid w:val="00875658"/>
    <w:rsid w:val="00875826"/>
    <w:rsid w:val="00875B44"/>
    <w:rsid w:val="008772A4"/>
    <w:rsid w:val="00881424"/>
    <w:rsid w:val="00882002"/>
    <w:rsid w:val="008848F0"/>
    <w:rsid w:val="00884D30"/>
    <w:rsid w:val="00891476"/>
    <w:rsid w:val="008921CD"/>
    <w:rsid w:val="00892312"/>
    <w:rsid w:val="00892418"/>
    <w:rsid w:val="00892508"/>
    <w:rsid w:val="008929DD"/>
    <w:rsid w:val="008932AD"/>
    <w:rsid w:val="008942B0"/>
    <w:rsid w:val="008949C6"/>
    <w:rsid w:val="008958C6"/>
    <w:rsid w:val="0089659F"/>
    <w:rsid w:val="0089777C"/>
    <w:rsid w:val="008A1991"/>
    <w:rsid w:val="008A1F7D"/>
    <w:rsid w:val="008A277C"/>
    <w:rsid w:val="008A3F25"/>
    <w:rsid w:val="008A471F"/>
    <w:rsid w:val="008A4F41"/>
    <w:rsid w:val="008A5527"/>
    <w:rsid w:val="008A61B8"/>
    <w:rsid w:val="008A7D46"/>
    <w:rsid w:val="008B1E2F"/>
    <w:rsid w:val="008B2B23"/>
    <w:rsid w:val="008B598D"/>
    <w:rsid w:val="008B7EE8"/>
    <w:rsid w:val="008C0D2B"/>
    <w:rsid w:val="008C10E2"/>
    <w:rsid w:val="008C144D"/>
    <w:rsid w:val="008C1E20"/>
    <w:rsid w:val="008C2ECF"/>
    <w:rsid w:val="008C34F2"/>
    <w:rsid w:val="008C407E"/>
    <w:rsid w:val="008C466D"/>
    <w:rsid w:val="008C4B92"/>
    <w:rsid w:val="008C4BC3"/>
    <w:rsid w:val="008C7674"/>
    <w:rsid w:val="008D1369"/>
    <w:rsid w:val="008D25B9"/>
    <w:rsid w:val="008D263A"/>
    <w:rsid w:val="008D4517"/>
    <w:rsid w:val="008D6482"/>
    <w:rsid w:val="008D668A"/>
    <w:rsid w:val="008D6FA6"/>
    <w:rsid w:val="008E00A0"/>
    <w:rsid w:val="008E11D0"/>
    <w:rsid w:val="008E2D04"/>
    <w:rsid w:val="008E3513"/>
    <w:rsid w:val="008E3ED0"/>
    <w:rsid w:val="008E46DB"/>
    <w:rsid w:val="008E484E"/>
    <w:rsid w:val="008E5009"/>
    <w:rsid w:val="008E531F"/>
    <w:rsid w:val="008E6035"/>
    <w:rsid w:val="008E7C66"/>
    <w:rsid w:val="008F070A"/>
    <w:rsid w:val="008F08B1"/>
    <w:rsid w:val="008F0C3B"/>
    <w:rsid w:val="008F1306"/>
    <w:rsid w:val="008F28A2"/>
    <w:rsid w:val="008F37D6"/>
    <w:rsid w:val="008F4198"/>
    <w:rsid w:val="008F41EF"/>
    <w:rsid w:val="008F454A"/>
    <w:rsid w:val="008F63D3"/>
    <w:rsid w:val="008F769F"/>
    <w:rsid w:val="009014DA"/>
    <w:rsid w:val="0090207C"/>
    <w:rsid w:val="009021B6"/>
    <w:rsid w:val="00903035"/>
    <w:rsid w:val="009038DB"/>
    <w:rsid w:val="00903BD1"/>
    <w:rsid w:val="00903E6E"/>
    <w:rsid w:val="00904AA8"/>
    <w:rsid w:val="00904B06"/>
    <w:rsid w:val="00904BDC"/>
    <w:rsid w:val="00905993"/>
    <w:rsid w:val="009059C7"/>
    <w:rsid w:val="00906107"/>
    <w:rsid w:val="009100D1"/>
    <w:rsid w:val="009112EB"/>
    <w:rsid w:val="00911607"/>
    <w:rsid w:val="00911A36"/>
    <w:rsid w:val="00912A56"/>
    <w:rsid w:val="00915470"/>
    <w:rsid w:val="00915607"/>
    <w:rsid w:val="00916685"/>
    <w:rsid w:val="00916B95"/>
    <w:rsid w:val="00916F50"/>
    <w:rsid w:val="00920AAA"/>
    <w:rsid w:val="00920B03"/>
    <w:rsid w:val="0092195A"/>
    <w:rsid w:val="00921FFA"/>
    <w:rsid w:val="00922762"/>
    <w:rsid w:val="009240CA"/>
    <w:rsid w:val="00927341"/>
    <w:rsid w:val="00930F63"/>
    <w:rsid w:val="009310AC"/>
    <w:rsid w:val="00932283"/>
    <w:rsid w:val="00932727"/>
    <w:rsid w:val="00932B09"/>
    <w:rsid w:val="00934372"/>
    <w:rsid w:val="0093586E"/>
    <w:rsid w:val="00935AC9"/>
    <w:rsid w:val="00936254"/>
    <w:rsid w:val="00937B3C"/>
    <w:rsid w:val="00940009"/>
    <w:rsid w:val="00940643"/>
    <w:rsid w:val="009412EB"/>
    <w:rsid w:val="00942A4B"/>
    <w:rsid w:val="00942C47"/>
    <w:rsid w:val="00943A8D"/>
    <w:rsid w:val="00943CD8"/>
    <w:rsid w:val="00944659"/>
    <w:rsid w:val="009456FF"/>
    <w:rsid w:val="00946638"/>
    <w:rsid w:val="00947337"/>
    <w:rsid w:val="0094786C"/>
    <w:rsid w:val="00947A91"/>
    <w:rsid w:val="009501EC"/>
    <w:rsid w:val="00954020"/>
    <w:rsid w:val="00954C90"/>
    <w:rsid w:val="00955B7A"/>
    <w:rsid w:val="009606B3"/>
    <w:rsid w:val="00960CB6"/>
    <w:rsid w:val="00962141"/>
    <w:rsid w:val="009621FF"/>
    <w:rsid w:val="00963132"/>
    <w:rsid w:val="0096741A"/>
    <w:rsid w:val="009708EE"/>
    <w:rsid w:val="009711FF"/>
    <w:rsid w:val="00971A56"/>
    <w:rsid w:val="009735F5"/>
    <w:rsid w:val="00973A29"/>
    <w:rsid w:val="0097424E"/>
    <w:rsid w:val="0097426C"/>
    <w:rsid w:val="009759A0"/>
    <w:rsid w:val="009770B7"/>
    <w:rsid w:val="0097759C"/>
    <w:rsid w:val="0097769A"/>
    <w:rsid w:val="00977817"/>
    <w:rsid w:val="00977CA6"/>
    <w:rsid w:val="00980CCD"/>
    <w:rsid w:val="00982855"/>
    <w:rsid w:val="00982954"/>
    <w:rsid w:val="0098451C"/>
    <w:rsid w:val="00984E68"/>
    <w:rsid w:val="0098546D"/>
    <w:rsid w:val="00986B0F"/>
    <w:rsid w:val="00986D11"/>
    <w:rsid w:val="00987A16"/>
    <w:rsid w:val="00990757"/>
    <w:rsid w:val="00991443"/>
    <w:rsid w:val="00993406"/>
    <w:rsid w:val="00995196"/>
    <w:rsid w:val="0099587D"/>
    <w:rsid w:val="00995CEA"/>
    <w:rsid w:val="00996F2E"/>
    <w:rsid w:val="009971D8"/>
    <w:rsid w:val="009974B3"/>
    <w:rsid w:val="009975DE"/>
    <w:rsid w:val="00997634"/>
    <w:rsid w:val="009A04EA"/>
    <w:rsid w:val="009A0873"/>
    <w:rsid w:val="009A098F"/>
    <w:rsid w:val="009A125E"/>
    <w:rsid w:val="009A12A1"/>
    <w:rsid w:val="009A1E32"/>
    <w:rsid w:val="009A32BC"/>
    <w:rsid w:val="009A3B5E"/>
    <w:rsid w:val="009A700B"/>
    <w:rsid w:val="009A722D"/>
    <w:rsid w:val="009B09F8"/>
    <w:rsid w:val="009B1618"/>
    <w:rsid w:val="009B251C"/>
    <w:rsid w:val="009B2ED1"/>
    <w:rsid w:val="009B395F"/>
    <w:rsid w:val="009B71EF"/>
    <w:rsid w:val="009B76F1"/>
    <w:rsid w:val="009B7942"/>
    <w:rsid w:val="009C2C3B"/>
    <w:rsid w:val="009C3E38"/>
    <w:rsid w:val="009C3FB6"/>
    <w:rsid w:val="009C4685"/>
    <w:rsid w:val="009C4D47"/>
    <w:rsid w:val="009C5AC5"/>
    <w:rsid w:val="009C63C7"/>
    <w:rsid w:val="009D044A"/>
    <w:rsid w:val="009D0A7E"/>
    <w:rsid w:val="009D1E00"/>
    <w:rsid w:val="009D4D40"/>
    <w:rsid w:val="009D5918"/>
    <w:rsid w:val="009D6158"/>
    <w:rsid w:val="009D6387"/>
    <w:rsid w:val="009D6E9F"/>
    <w:rsid w:val="009E0232"/>
    <w:rsid w:val="009E109B"/>
    <w:rsid w:val="009E152F"/>
    <w:rsid w:val="009E2DB1"/>
    <w:rsid w:val="009E3050"/>
    <w:rsid w:val="009E4820"/>
    <w:rsid w:val="009E5AD0"/>
    <w:rsid w:val="009E5E2D"/>
    <w:rsid w:val="009E6667"/>
    <w:rsid w:val="009E6DCB"/>
    <w:rsid w:val="009E7EAD"/>
    <w:rsid w:val="009F17FB"/>
    <w:rsid w:val="009F296D"/>
    <w:rsid w:val="009F33FA"/>
    <w:rsid w:val="009F37DF"/>
    <w:rsid w:val="009F427D"/>
    <w:rsid w:val="009F4580"/>
    <w:rsid w:val="009F4CD6"/>
    <w:rsid w:val="009F5E0D"/>
    <w:rsid w:val="009F5EF3"/>
    <w:rsid w:val="009F76A6"/>
    <w:rsid w:val="009F7AB3"/>
    <w:rsid w:val="00A001C4"/>
    <w:rsid w:val="00A00AC9"/>
    <w:rsid w:val="00A021DB"/>
    <w:rsid w:val="00A0372D"/>
    <w:rsid w:val="00A05005"/>
    <w:rsid w:val="00A06983"/>
    <w:rsid w:val="00A069BD"/>
    <w:rsid w:val="00A11574"/>
    <w:rsid w:val="00A122ED"/>
    <w:rsid w:val="00A12FE1"/>
    <w:rsid w:val="00A13924"/>
    <w:rsid w:val="00A1423A"/>
    <w:rsid w:val="00A16632"/>
    <w:rsid w:val="00A17167"/>
    <w:rsid w:val="00A21FAF"/>
    <w:rsid w:val="00A2329D"/>
    <w:rsid w:val="00A237AE"/>
    <w:rsid w:val="00A23A4E"/>
    <w:rsid w:val="00A23C27"/>
    <w:rsid w:val="00A24403"/>
    <w:rsid w:val="00A24E54"/>
    <w:rsid w:val="00A25247"/>
    <w:rsid w:val="00A269FA"/>
    <w:rsid w:val="00A27BA2"/>
    <w:rsid w:val="00A27FD1"/>
    <w:rsid w:val="00A30BB9"/>
    <w:rsid w:val="00A31503"/>
    <w:rsid w:val="00A324B0"/>
    <w:rsid w:val="00A33C38"/>
    <w:rsid w:val="00A34A86"/>
    <w:rsid w:val="00A35929"/>
    <w:rsid w:val="00A35959"/>
    <w:rsid w:val="00A36CBF"/>
    <w:rsid w:val="00A36F0D"/>
    <w:rsid w:val="00A40196"/>
    <w:rsid w:val="00A41B60"/>
    <w:rsid w:val="00A44638"/>
    <w:rsid w:val="00A4774D"/>
    <w:rsid w:val="00A53557"/>
    <w:rsid w:val="00A53D97"/>
    <w:rsid w:val="00A55FC3"/>
    <w:rsid w:val="00A5600A"/>
    <w:rsid w:val="00A57C95"/>
    <w:rsid w:val="00A6011F"/>
    <w:rsid w:val="00A60934"/>
    <w:rsid w:val="00A60947"/>
    <w:rsid w:val="00A60E4C"/>
    <w:rsid w:val="00A618A6"/>
    <w:rsid w:val="00A61CC8"/>
    <w:rsid w:val="00A6293E"/>
    <w:rsid w:val="00A62E31"/>
    <w:rsid w:val="00A64473"/>
    <w:rsid w:val="00A70550"/>
    <w:rsid w:val="00A714D1"/>
    <w:rsid w:val="00A73023"/>
    <w:rsid w:val="00A73929"/>
    <w:rsid w:val="00A74E0E"/>
    <w:rsid w:val="00A74ECA"/>
    <w:rsid w:val="00A74FC7"/>
    <w:rsid w:val="00A763F0"/>
    <w:rsid w:val="00A76A1C"/>
    <w:rsid w:val="00A80880"/>
    <w:rsid w:val="00A8205A"/>
    <w:rsid w:val="00A84D70"/>
    <w:rsid w:val="00A8638B"/>
    <w:rsid w:val="00A86947"/>
    <w:rsid w:val="00A87067"/>
    <w:rsid w:val="00A90DE2"/>
    <w:rsid w:val="00A914DD"/>
    <w:rsid w:val="00A91F2D"/>
    <w:rsid w:val="00A95738"/>
    <w:rsid w:val="00A960A7"/>
    <w:rsid w:val="00A96A41"/>
    <w:rsid w:val="00A96E64"/>
    <w:rsid w:val="00A973DD"/>
    <w:rsid w:val="00A97665"/>
    <w:rsid w:val="00A97755"/>
    <w:rsid w:val="00AA0553"/>
    <w:rsid w:val="00AA0A28"/>
    <w:rsid w:val="00AA180B"/>
    <w:rsid w:val="00AA2A12"/>
    <w:rsid w:val="00AA2E10"/>
    <w:rsid w:val="00AA5981"/>
    <w:rsid w:val="00AA7F78"/>
    <w:rsid w:val="00AB230D"/>
    <w:rsid w:val="00AB40A0"/>
    <w:rsid w:val="00AB4A5C"/>
    <w:rsid w:val="00AB633B"/>
    <w:rsid w:val="00AC0BB5"/>
    <w:rsid w:val="00AC0F48"/>
    <w:rsid w:val="00AC1B27"/>
    <w:rsid w:val="00AC1FCB"/>
    <w:rsid w:val="00AC3DEA"/>
    <w:rsid w:val="00AC44F4"/>
    <w:rsid w:val="00AC465F"/>
    <w:rsid w:val="00AC58DC"/>
    <w:rsid w:val="00AC58FD"/>
    <w:rsid w:val="00AC5EA0"/>
    <w:rsid w:val="00AC704C"/>
    <w:rsid w:val="00AD1442"/>
    <w:rsid w:val="00AD223C"/>
    <w:rsid w:val="00AD2CEB"/>
    <w:rsid w:val="00AD2D5A"/>
    <w:rsid w:val="00AD39CE"/>
    <w:rsid w:val="00AD4810"/>
    <w:rsid w:val="00AD68FD"/>
    <w:rsid w:val="00AD7359"/>
    <w:rsid w:val="00AD787E"/>
    <w:rsid w:val="00AE13B2"/>
    <w:rsid w:val="00AE2E18"/>
    <w:rsid w:val="00AE4089"/>
    <w:rsid w:val="00AE7D61"/>
    <w:rsid w:val="00AF02A4"/>
    <w:rsid w:val="00AF02EC"/>
    <w:rsid w:val="00AF2D78"/>
    <w:rsid w:val="00AF41D5"/>
    <w:rsid w:val="00AF47D8"/>
    <w:rsid w:val="00AF521D"/>
    <w:rsid w:val="00AF5D15"/>
    <w:rsid w:val="00B00CFF"/>
    <w:rsid w:val="00B01622"/>
    <w:rsid w:val="00B01C70"/>
    <w:rsid w:val="00B02079"/>
    <w:rsid w:val="00B03E10"/>
    <w:rsid w:val="00B04F22"/>
    <w:rsid w:val="00B058F9"/>
    <w:rsid w:val="00B0773B"/>
    <w:rsid w:val="00B07818"/>
    <w:rsid w:val="00B11C4C"/>
    <w:rsid w:val="00B124B4"/>
    <w:rsid w:val="00B1407B"/>
    <w:rsid w:val="00B2119F"/>
    <w:rsid w:val="00B21D69"/>
    <w:rsid w:val="00B21FD7"/>
    <w:rsid w:val="00B23C7A"/>
    <w:rsid w:val="00B244AE"/>
    <w:rsid w:val="00B24694"/>
    <w:rsid w:val="00B25195"/>
    <w:rsid w:val="00B269A9"/>
    <w:rsid w:val="00B26B33"/>
    <w:rsid w:val="00B30930"/>
    <w:rsid w:val="00B309A1"/>
    <w:rsid w:val="00B3151B"/>
    <w:rsid w:val="00B316C4"/>
    <w:rsid w:val="00B33676"/>
    <w:rsid w:val="00B3492B"/>
    <w:rsid w:val="00B34EBE"/>
    <w:rsid w:val="00B3668B"/>
    <w:rsid w:val="00B37B1D"/>
    <w:rsid w:val="00B40640"/>
    <w:rsid w:val="00B409D2"/>
    <w:rsid w:val="00B40C8A"/>
    <w:rsid w:val="00B42875"/>
    <w:rsid w:val="00B43183"/>
    <w:rsid w:val="00B43561"/>
    <w:rsid w:val="00B43968"/>
    <w:rsid w:val="00B449E5"/>
    <w:rsid w:val="00B44A5D"/>
    <w:rsid w:val="00B45CD0"/>
    <w:rsid w:val="00B4635E"/>
    <w:rsid w:val="00B46B1C"/>
    <w:rsid w:val="00B475C3"/>
    <w:rsid w:val="00B47F6A"/>
    <w:rsid w:val="00B5052B"/>
    <w:rsid w:val="00B50EA0"/>
    <w:rsid w:val="00B51565"/>
    <w:rsid w:val="00B51752"/>
    <w:rsid w:val="00B5322A"/>
    <w:rsid w:val="00B54286"/>
    <w:rsid w:val="00B5454B"/>
    <w:rsid w:val="00B548F2"/>
    <w:rsid w:val="00B5583E"/>
    <w:rsid w:val="00B57861"/>
    <w:rsid w:val="00B60446"/>
    <w:rsid w:val="00B6218A"/>
    <w:rsid w:val="00B62557"/>
    <w:rsid w:val="00B66985"/>
    <w:rsid w:val="00B6707C"/>
    <w:rsid w:val="00B673C7"/>
    <w:rsid w:val="00B67A1F"/>
    <w:rsid w:val="00B717FE"/>
    <w:rsid w:val="00B724E0"/>
    <w:rsid w:val="00B724EB"/>
    <w:rsid w:val="00B743A5"/>
    <w:rsid w:val="00B76606"/>
    <w:rsid w:val="00B77395"/>
    <w:rsid w:val="00B800B3"/>
    <w:rsid w:val="00B80AF2"/>
    <w:rsid w:val="00B80C19"/>
    <w:rsid w:val="00B80CA2"/>
    <w:rsid w:val="00B813BE"/>
    <w:rsid w:val="00B81E48"/>
    <w:rsid w:val="00B8217F"/>
    <w:rsid w:val="00B846E9"/>
    <w:rsid w:val="00B84975"/>
    <w:rsid w:val="00B85147"/>
    <w:rsid w:val="00B854A3"/>
    <w:rsid w:val="00B872FC"/>
    <w:rsid w:val="00B87929"/>
    <w:rsid w:val="00B87976"/>
    <w:rsid w:val="00B903AD"/>
    <w:rsid w:val="00B9116C"/>
    <w:rsid w:val="00B91C67"/>
    <w:rsid w:val="00BA0452"/>
    <w:rsid w:val="00BA0FDA"/>
    <w:rsid w:val="00BA2067"/>
    <w:rsid w:val="00BA269B"/>
    <w:rsid w:val="00BA2D95"/>
    <w:rsid w:val="00BA314A"/>
    <w:rsid w:val="00BA36D2"/>
    <w:rsid w:val="00BA41D2"/>
    <w:rsid w:val="00BA50BA"/>
    <w:rsid w:val="00BA5518"/>
    <w:rsid w:val="00BA68D0"/>
    <w:rsid w:val="00BA76B6"/>
    <w:rsid w:val="00BB16F5"/>
    <w:rsid w:val="00BB529F"/>
    <w:rsid w:val="00BB5547"/>
    <w:rsid w:val="00BB7543"/>
    <w:rsid w:val="00BC019B"/>
    <w:rsid w:val="00BC09BB"/>
    <w:rsid w:val="00BC1A1D"/>
    <w:rsid w:val="00BC1D8A"/>
    <w:rsid w:val="00BC3B2E"/>
    <w:rsid w:val="00BC40C1"/>
    <w:rsid w:val="00BC58B3"/>
    <w:rsid w:val="00BC6EA3"/>
    <w:rsid w:val="00BC7363"/>
    <w:rsid w:val="00BC77CB"/>
    <w:rsid w:val="00BC7868"/>
    <w:rsid w:val="00BD09DF"/>
    <w:rsid w:val="00BD1597"/>
    <w:rsid w:val="00BD187A"/>
    <w:rsid w:val="00BD32D0"/>
    <w:rsid w:val="00BD4A89"/>
    <w:rsid w:val="00BD78A0"/>
    <w:rsid w:val="00BE0340"/>
    <w:rsid w:val="00BE1A01"/>
    <w:rsid w:val="00BE211D"/>
    <w:rsid w:val="00BE2609"/>
    <w:rsid w:val="00BE42F1"/>
    <w:rsid w:val="00BE5787"/>
    <w:rsid w:val="00BE5B0E"/>
    <w:rsid w:val="00BE6D9C"/>
    <w:rsid w:val="00BE7186"/>
    <w:rsid w:val="00BF001E"/>
    <w:rsid w:val="00BF0D7C"/>
    <w:rsid w:val="00BF1F90"/>
    <w:rsid w:val="00BF5761"/>
    <w:rsid w:val="00BF5FD0"/>
    <w:rsid w:val="00BF615B"/>
    <w:rsid w:val="00C002DA"/>
    <w:rsid w:val="00C02577"/>
    <w:rsid w:val="00C02622"/>
    <w:rsid w:val="00C028BB"/>
    <w:rsid w:val="00C029E7"/>
    <w:rsid w:val="00C02A8D"/>
    <w:rsid w:val="00C042CB"/>
    <w:rsid w:val="00C04834"/>
    <w:rsid w:val="00C04925"/>
    <w:rsid w:val="00C111AA"/>
    <w:rsid w:val="00C11746"/>
    <w:rsid w:val="00C12597"/>
    <w:rsid w:val="00C12F11"/>
    <w:rsid w:val="00C1369D"/>
    <w:rsid w:val="00C14849"/>
    <w:rsid w:val="00C15439"/>
    <w:rsid w:val="00C161C2"/>
    <w:rsid w:val="00C200FC"/>
    <w:rsid w:val="00C212D6"/>
    <w:rsid w:val="00C22B63"/>
    <w:rsid w:val="00C242A0"/>
    <w:rsid w:val="00C300A0"/>
    <w:rsid w:val="00C31A3A"/>
    <w:rsid w:val="00C32E20"/>
    <w:rsid w:val="00C32FB9"/>
    <w:rsid w:val="00C340C8"/>
    <w:rsid w:val="00C34FB1"/>
    <w:rsid w:val="00C357BB"/>
    <w:rsid w:val="00C35D14"/>
    <w:rsid w:val="00C36588"/>
    <w:rsid w:val="00C3680F"/>
    <w:rsid w:val="00C37836"/>
    <w:rsid w:val="00C40AB6"/>
    <w:rsid w:val="00C40C3C"/>
    <w:rsid w:val="00C42020"/>
    <w:rsid w:val="00C43002"/>
    <w:rsid w:val="00C430A3"/>
    <w:rsid w:val="00C432B4"/>
    <w:rsid w:val="00C4385C"/>
    <w:rsid w:val="00C43CB1"/>
    <w:rsid w:val="00C43DB2"/>
    <w:rsid w:val="00C43FE9"/>
    <w:rsid w:val="00C46868"/>
    <w:rsid w:val="00C50DEB"/>
    <w:rsid w:val="00C5397A"/>
    <w:rsid w:val="00C5530E"/>
    <w:rsid w:val="00C554F9"/>
    <w:rsid w:val="00C55D26"/>
    <w:rsid w:val="00C56BC6"/>
    <w:rsid w:val="00C56FDC"/>
    <w:rsid w:val="00C57DC9"/>
    <w:rsid w:val="00C60134"/>
    <w:rsid w:val="00C603EF"/>
    <w:rsid w:val="00C6068B"/>
    <w:rsid w:val="00C60C9E"/>
    <w:rsid w:val="00C624D6"/>
    <w:rsid w:val="00C6332A"/>
    <w:rsid w:val="00C649F5"/>
    <w:rsid w:val="00C64DEF"/>
    <w:rsid w:val="00C70670"/>
    <w:rsid w:val="00C72836"/>
    <w:rsid w:val="00C72C6A"/>
    <w:rsid w:val="00C73D8E"/>
    <w:rsid w:val="00C7458E"/>
    <w:rsid w:val="00C746D6"/>
    <w:rsid w:val="00C74921"/>
    <w:rsid w:val="00C74CF0"/>
    <w:rsid w:val="00C75A25"/>
    <w:rsid w:val="00C76977"/>
    <w:rsid w:val="00C775AD"/>
    <w:rsid w:val="00C82E22"/>
    <w:rsid w:val="00C8378E"/>
    <w:rsid w:val="00C84E5E"/>
    <w:rsid w:val="00C84FBB"/>
    <w:rsid w:val="00C85D01"/>
    <w:rsid w:val="00C864E5"/>
    <w:rsid w:val="00C869FC"/>
    <w:rsid w:val="00C927CE"/>
    <w:rsid w:val="00C9451F"/>
    <w:rsid w:val="00C94BA6"/>
    <w:rsid w:val="00C96612"/>
    <w:rsid w:val="00C96C78"/>
    <w:rsid w:val="00C96FD5"/>
    <w:rsid w:val="00C97E1B"/>
    <w:rsid w:val="00CA1ABE"/>
    <w:rsid w:val="00CA3EF1"/>
    <w:rsid w:val="00CA4B04"/>
    <w:rsid w:val="00CA566F"/>
    <w:rsid w:val="00CB06B5"/>
    <w:rsid w:val="00CB13EC"/>
    <w:rsid w:val="00CB1F3D"/>
    <w:rsid w:val="00CB2938"/>
    <w:rsid w:val="00CB2F6B"/>
    <w:rsid w:val="00CB2FBC"/>
    <w:rsid w:val="00CB3CEC"/>
    <w:rsid w:val="00CB5269"/>
    <w:rsid w:val="00CB5DBE"/>
    <w:rsid w:val="00CB6199"/>
    <w:rsid w:val="00CB6210"/>
    <w:rsid w:val="00CB7307"/>
    <w:rsid w:val="00CB776D"/>
    <w:rsid w:val="00CC0252"/>
    <w:rsid w:val="00CC1061"/>
    <w:rsid w:val="00CC186F"/>
    <w:rsid w:val="00CC383F"/>
    <w:rsid w:val="00CC4CD7"/>
    <w:rsid w:val="00CC6EFC"/>
    <w:rsid w:val="00CC7CF6"/>
    <w:rsid w:val="00CD0481"/>
    <w:rsid w:val="00CD1103"/>
    <w:rsid w:val="00CD2A7B"/>
    <w:rsid w:val="00CD3D23"/>
    <w:rsid w:val="00CD5C0D"/>
    <w:rsid w:val="00CD72AB"/>
    <w:rsid w:val="00CD72F0"/>
    <w:rsid w:val="00CE0AAC"/>
    <w:rsid w:val="00CE1608"/>
    <w:rsid w:val="00CE1C00"/>
    <w:rsid w:val="00CE3139"/>
    <w:rsid w:val="00CE3E4F"/>
    <w:rsid w:val="00CE72FB"/>
    <w:rsid w:val="00CE7CF6"/>
    <w:rsid w:val="00CF059A"/>
    <w:rsid w:val="00CF1F84"/>
    <w:rsid w:val="00CF2EB4"/>
    <w:rsid w:val="00CF7FC6"/>
    <w:rsid w:val="00D075AD"/>
    <w:rsid w:val="00D077BD"/>
    <w:rsid w:val="00D07B8E"/>
    <w:rsid w:val="00D07C73"/>
    <w:rsid w:val="00D1060E"/>
    <w:rsid w:val="00D10635"/>
    <w:rsid w:val="00D12C56"/>
    <w:rsid w:val="00D14B59"/>
    <w:rsid w:val="00D15466"/>
    <w:rsid w:val="00D16963"/>
    <w:rsid w:val="00D2066A"/>
    <w:rsid w:val="00D20823"/>
    <w:rsid w:val="00D2089A"/>
    <w:rsid w:val="00D2223F"/>
    <w:rsid w:val="00D22271"/>
    <w:rsid w:val="00D24A0F"/>
    <w:rsid w:val="00D24B99"/>
    <w:rsid w:val="00D24E0F"/>
    <w:rsid w:val="00D24EE0"/>
    <w:rsid w:val="00D24FA7"/>
    <w:rsid w:val="00D25753"/>
    <w:rsid w:val="00D26FDC"/>
    <w:rsid w:val="00D310AB"/>
    <w:rsid w:val="00D321C5"/>
    <w:rsid w:val="00D32BA3"/>
    <w:rsid w:val="00D32BE5"/>
    <w:rsid w:val="00D33D50"/>
    <w:rsid w:val="00D3527F"/>
    <w:rsid w:val="00D3593A"/>
    <w:rsid w:val="00D3654B"/>
    <w:rsid w:val="00D41C40"/>
    <w:rsid w:val="00D4235B"/>
    <w:rsid w:val="00D42385"/>
    <w:rsid w:val="00D44E4F"/>
    <w:rsid w:val="00D45C02"/>
    <w:rsid w:val="00D45EBB"/>
    <w:rsid w:val="00D46D22"/>
    <w:rsid w:val="00D472D8"/>
    <w:rsid w:val="00D4763A"/>
    <w:rsid w:val="00D50396"/>
    <w:rsid w:val="00D51DFD"/>
    <w:rsid w:val="00D52DC0"/>
    <w:rsid w:val="00D5436D"/>
    <w:rsid w:val="00D556F4"/>
    <w:rsid w:val="00D557EE"/>
    <w:rsid w:val="00D560C3"/>
    <w:rsid w:val="00D5638B"/>
    <w:rsid w:val="00D565C0"/>
    <w:rsid w:val="00D574B2"/>
    <w:rsid w:val="00D57C00"/>
    <w:rsid w:val="00D604D1"/>
    <w:rsid w:val="00D61ADE"/>
    <w:rsid w:val="00D636B4"/>
    <w:rsid w:val="00D63A42"/>
    <w:rsid w:val="00D63A92"/>
    <w:rsid w:val="00D64F2E"/>
    <w:rsid w:val="00D6599E"/>
    <w:rsid w:val="00D66DBD"/>
    <w:rsid w:val="00D70369"/>
    <w:rsid w:val="00D70770"/>
    <w:rsid w:val="00D73875"/>
    <w:rsid w:val="00D74667"/>
    <w:rsid w:val="00D77544"/>
    <w:rsid w:val="00D81770"/>
    <w:rsid w:val="00D826FA"/>
    <w:rsid w:val="00D844D5"/>
    <w:rsid w:val="00D856DA"/>
    <w:rsid w:val="00D878D9"/>
    <w:rsid w:val="00D87989"/>
    <w:rsid w:val="00D90005"/>
    <w:rsid w:val="00D91654"/>
    <w:rsid w:val="00D92884"/>
    <w:rsid w:val="00D928D7"/>
    <w:rsid w:val="00D92A89"/>
    <w:rsid w:val="00D935F4"/>
    <w:rsid w:val="00D93766"/>
    <w:rsid w:val="00D93F84"/>
    <w:rsid w:val="00D96E14"/>
    <w:rsid w:val="00D97028"/>
    <w:rsid w:val="00DA01C7"/>
    <w:rsid w:val="00DA070A"/>
    <w:rsid w:val="00DA1419"/>
    <w:rsid w:val="00DA19AA"/>
    <w:rsid w:val="00DA257C"/>
    <w:rsid w:val="00DA28BC"/>
    <w:rsid w:val="00DA4BF8"/>
    <w:rsid w:val="00DA4F66"/>
    <w:rsid w:val="00DA5E96"/>
    <w:rsid w:val="00DA7D2A"/>
    <w:rsid w:val="00DB0908"/>
    <w:rsid w:val="00DB15C3"/>
    <w:rsid w:val="00DB30C3"/>
    <w:rsid w:val="00DB358A"/>
    <w:rsid w:val="00DB4981"/>
    <w:rsid w:val="00DB6659"/>
    <w:rsid w:val="00DB7096"/>
    <w:rsid w:val="00DB7B39"/>
    <w:rsid w:val="00DC01B9"/>
    <w:rsid w:val="00DC1221"/>
    <w:rsid w:val="00DC1E8B"/>
    <w:rsid w:val="00DC267E"/>
    <w:rsid w:val="00DC2C5E"/>
    <w:rsid w:val="00DC5A0B"/>
    <w:rsid w:val="00DC5F2E"/>
    <w:rsid w:val="00DD180A"/>
    <w:rsid w:val="00DD2184"/>
    <w:rsid w:val="00DD35C0"/>
    <w:rsid w:val="00DD360F"/>
    <w:rsid w:val="00DD3613"/>
    <w:rsid w:val="00DD6681"/>
    <w:rsid w:val="00DD6DD4"/>
    <w:rsid w:val="00DD6EAD"/>
    <w:rsid w:val="00DD72C5"/>
    <w:rsid w:val="00DD7B45"/>
    <w:rsid w:val="00DD7F83"/>
    <w:rsid w:val="00DE3312"/>
    <w:rsid w:val="00DE3EFA"/>
    <w:rsid w:val="00DE4661"/>
    <w:rsid w:val="00DE4E0C"/>
    <w:rsid w:val="00DE4F4E"/>
    <w:rsid w:val="00DE501F"/>
    <w:rsid w:val="00DE5D39"/>
    <w:rsid w:val="00DE6B64"/>
    <w:rsid w:val="00DE7038"/>
    <w:rsid w:val="00DF0130"/>
    <w:rsid w:val="00DF0942"/>
    <w:rsid w:val="00DF10AC"/>
    <w:rsid w:val="00DF2E00"/>
    <w:rsid w:val="00DF2E80"/>
    <w:rsid w:val="00DF2F94"/>
    <w:rsid w:val="00DF326C"/>
    <w:rsid w:val="00DF38C3"/>
    <w:rsid w:val="00DF3D4D"/>
    <w:rsid w:val="00DF5351"/>
    <w:rsid w:val="00DF5EF7"/>
    <w:rsid w:val="00DF621F"/>
    <w:rsid w:val="00DF79D7"/>
    <w:rsid w:val="00E00C9D"/>
    <w:rsid w:val="00E0104F"/>
    <w:rsid w:val="00E0114F"/>
    <w:rsid w:val="00E01799"/>
    <w:rsid w:val="00E023EB"/>
    <w:rsid w:val="00E03D5B"/>
    <w:rsid w:val="00E03FD3"/>
    <w:rsid w:val="00E0429B"/>
    <w:rsid w:val="00E04812"/>
    <w:rsid w:val="00E04F1A"/>
    <w:rsid w:val="00E062FA"/>
    <w:rsid w:val="00E0639B"/>
    <w:rsid w:val="00E06CD9"/>
    <w:rsid w:val="00E104F0"/>
    <w:rsid w:val="00E11299"/>
    <w:rsid w:val="00E11E7C"/>
    <w:rsid w:val="00E11EFF"/>
    <w:rsid w:val="00E13A56"/>
    <w:rsid w:val="00E142A0"/>
    <w:rsid w:val="00E15731"/>
    <w:rsid w:val="00E16ADA"/>
    <w:rsid w:val="00E16CEB"/>
    <w:rsid w:val="00E16F09"/>
    <w:rsid w:val="00E215F8"/>
    <w:rsid w:val="00E22186"/>
    <w:rsid w:val="00E2417F"/>
    <w:rsid w:val="00E24971"/>
    <w:rsid w:val="00E24C4A"/>
    <w:rsid w:val="00E24CD9"/>
    <w:rsid w:val="00E2519B"/>
    <w:rsid w:val="00E25331"/>
    <w:rsid w:val="00E25A68"/>
    <w:rsid w:val="00E26333"/>
    <w:rsid w:val="00E26456"/>
    <w:rsid w:val="00E27C74"/>
    <w:rsid w:val="00E309C5"/>
    <w:rsid w:val="00E30A22"/>
    <w:rsid w:val="00E32166"/>
    <w:rsid w:val="00E35AD8"/>
    <w:rsid w:val="00E35D11"/>
    <w:rsid w:val="00E36831"/>
    <w:rsid w:val="00E37A4E"/>
    <w:rsid w:val="00E37E48"/>
    <w:rsid w:val="00E40920"/>
    <w:rsid w:val="00E4145B"/>
    <w:rsid w:val="00E44711"/>
    <w:rsid w:val="00E44F79"/>
    <w:rsid w:val="00E459C5"/>
    <w:rsid w:val="00E46624"/>
    <w:rsid w:val="00E507C9"/>
    <w:rsid w:val="00E51139"/>
    <w:rsid w:val="00E5176F"/>
    <w:rsid w:val="00E54398"/>
    <w:rsid w:val="00E55436"/>
    <w:rsid w:val="00E609E1"/>
    <w:rsid w:val="00E61136"/>
    <w:rsid w:val="00E629C9"/>
    <w:rsid w:val="00E65880"/>
    <w:rsid w:val="00E659E2"/>
    <w:rsid w:val="00E65D73"/>
    <w:rsid w:val="00E6652D"/>
    <w:rsid w:val="00E70506"/>
    <w:rsid w:val="00E73367"/>
    <w:rsid w:val="00E73882"/>
    <w:rsid w:val="00E74A28"/>
    <w:rsid w:val="00E74C27"/>
    <w:rsid w:val="00E75508"/>
    <w:rsid w:val="00E77E91"/>
    <w:rsid w:val="00E8003B"/>
    <w:rsid w:val="00E81011"/>
    <w:rsid w:val="00E81DA0"/>
    <w:rsid w:val="00E82BB2"/>
    <w:rsid w:val="00E83611"/>
    <w:rsid w:val="00E841F3"/>
    <w:rsid w:val="00E84335"/>
    <w:rsid w:val="00E84968"/>
    <w:rsid w:val="00E84C46"/>
    <w:rsid w:val="00E86327"/>
    <w:rsid w:val="00E90C67"/>
    <w:rsid w:val="00E90E31"/>
    <w:rsid w:val="00E91464"/>
    <w:rsid w:val="00E91683"/>
    <w:rsid w:val="00E9197A"/>
    <w:rsid w:val="00E92BC7"/>
    <w:rsid w:val="00E92D84"/>
    <w:rsid w:val="00E957B9"/>
    <w:rsid w:val="00E95BA7"/>
    <w:rsid w:val="00E97017"/>
    <w:rsid w:val="00E970C5"/>
    <w:rsid w:val="00E971FA"/>
    <w:rsid w:val="00E97951"/>
    <w:rsid w:val="00EA065F"/>
    <w:rsid w:val="00EA19E6"/>
    <w:rsid w:val="00EA1FD1"/>
    <w:rsid w:val="00EA2074"/>
    <w:rsid w:val="00EA2555"/>
    <w:rsid w:val="00EA3041"/>
    <w:rsid w:val="00EA4263"/>
    <w:rsid w:val="00EA58C3"/>
    <w:rsid w:val="00EA6A2B"/>
    <w:rsid w:val="00EA6C56"/>
    <w:rsid w:val="00EA76D5"/>
    <w:rsid w:val="00EB00F7"/>
    <w:rsid w:val="00EB05E1"/>
    <w:rsid w:val="00EB0B52"/>
    <w:rsid w:val="00EB1578"/>
    <w:rsid w:val="00EB189E"/>
    <w:rsid w:val="00EB28F2"/>
    <w:rsid w:val="00EB2A13"/>
    <w:rsid w:val="00EB2C8D"/>
    <w:rsid w:val="00EB5AD5"/>
    <w:rsid w:val="00EB66C0"/>
    <w:rsid w:val="00EB7415"/>
    <w:rsid w:val="00EC3C1E"/>
    <w:rsid w:val="00EC47A3"/>
    <w:rsid w:val="00EC5A2F"/>
    <w:rsid w:val="00ED0BC1"/>
    <w:rsid w:val="00ED1291"/>
    <w:rsid w:val="00ED30D9"/>
    <w:rsid w:val="00ED3233"/>
    <w:rsid w:val="00ED3A72"/>
    <w:rsid w:val="00ED3C6E"/>
    <w:rsid w:val="00ED64F8"/>
    <w:rsid w:val="00ED6EB4"/>
    <w:rsid w:val="00ED73A8"/>
    <w:rsid w:val="00ED740E"/>
    <w:rsid w:val="00EE04C5"/>
    <w:rsid w:val="00EE0A43"/>
    <w:rsid w:val="00EE1D58"/>
    <w:rsid w:val="00EE471F"/>
    <w:rsid w:val="00EE5069"/>
    <w:rsid w:val="00EE542C"/>
    <w:rsid w:val="00EE746B"/>
    <w:rsid w:val="00EF160F"/>
    <w:rsid w:val="00EF199B"/>
    <w:rsid w:val="00EF24BF"/>
    <w:rsid w:val="00EF38AC"/>
    <w:rsid w:val="00EF47B0"/>
    <w:rsid w:val="00EF5199"/>
    <w:rsid w:val="00EF5A5E"/>
    <w:rsid w:val="00EF7C94"/>
    <w:rsid w:val="00F001EF"/>
    <w:rsid w:val="00F02054"/>
    <w:rsid w:val="00F022D6"/>
    <w:rsid w:val="00F047B9"/>
    <w:rsid w:val="00F0505D"/>
    <w:rsid w:val="00F05F84"/>
    <w:rsid w:val="00F05F9E"/>
    <w:rsid w:val="00F05FE7"/>
    <w:rsid w:val="00F06C6B"/>
    <w:rsid w:val="00F124D6"/>
    <w:rsid w:val="00F12B3C"/>
    <w:rsid w:val="00F13575"/>
    <w:rsid w:val="00F139FE"/>
    <w:rsid w:val="00F13E52"/>
    <w:rsid w:val="00F15009"/>
    <w:rsid w:val="00F154BF"/>
    <w:rsid w:val="00F1659A"/>
    <w:rsid w:val="00F17105"/>
    <w:rsid w:val="00F2024A"/>
    <w:rsid w:val="00F20B85"/>
    <w:rsid w:val="00F21209"/>
    <w:rsid w:val="00F216A8"/>
    <w:rsid w:val="00F229FC"/>
    <w:rsid w:val="00F23713"/>
    <w:rsid w:val="00F23DF3"/>
    <w:rsid w:val="00F25149"/>
    <w:rsid w:val="00F25444"/>
    <w:rsid w:val="00F266C1"/>
    <w:rsid w:val="00F3133B"/>
    <w:rsid w:val="00F3198F"/>
    <w:rsid w:val="00F331A4"/>
    <w:rsid w:val="00F33679"/>
    <w:rsid w:val="00F33680"/>
    <w:rsid w:val="00F336D3"/>
    <w:rsid w:val="00F35283"/>
    <w:rsid w:val="00F352C2"/>
    <w:rsid w:val="00F41C02"/>
    <w:rsid w:val="00F43390"/>
    <w:rsid w:val="00F4413F"/>
    <w:rsid w:val="00F4447C"/>
    <w:rsid w:val="00F460FD"/>
    <w:rsid w:val="00F46463"/>
    <w:rsid w:val="00F469B6"/>
    <w:rsid w:val="00F46B68"/>
    <w:rsid w:val="00F50732"/>
    <w:rsid w:val="00F509F1"/>
    <w:rsid w:val="00F5172A"/>
    <w:rsid w:val="00F547A2"/>
    <w:rsid w:val="00F55003"/>
    <w:rsid w:val="00F57C52"/>
    <w:rsid w:val="00F60F0F"/>
    <w:rsid w:val="00F6233B"/>
    <w:rsid w:val="00F62937"/>
    <w:rsid w:val="00F63F53"/>
    <w:rsid w:val="00F641A8"/>
    <w:rsid w:val="00F64769"/>
    <w:rsid w:val="00F6480D"/>
    <w:rsid w:val="00F65B8D"/>
    <w:rsid w:val="00F66FBD"/>
    <w:rsid w:val="00F71769"/>
    <w:rsid w:val="00F71AD7"/>
    <w:rsid w:val="00F7423F"/>
    <w:rsid w:val="00F75876"/>
    <w:rsid w:val="00F75F83"/>
    <w:rsid w:val="00F76665"/>
    <w:rsid w:val="00F7669C"/>
    <w:rsid w:val="00F76F50"/>
    <w:rsid w:val="00F7796B"/>
    <w:rsid w:val="00F77DD1"/>
    <w:rsid w:val="00F80D85"/>
    <w:rsid w:val="00F81211"/>
    <w:rsid w:val="00F814A4"/>
    <w:rsid w:val="00F83849"/>
    <w:rsid w:val="00F841F6"/>
    <w:rsid w:val="00F8550C"/>
    <w:rsid w:val="00F86C26"/>
    <w:rsid w:val="00F86E8C"/>
    <w:rsid w:val="00F9012B"/>
    <w:rsid w:val="00F92418"/>
    <w:rsid w:val="00F925F2"/>
    <w:rsid w:val="00F93DB6"/>
    <w:rsid w:val="00F93FA3"/>
    <w:rsid w:val="00F9775B"/>
    <w:rsid w:val="00FA237D"/>
    <w:rsid w:val="00FA2793"/>
    <w:rsid w:val="00FA2A63"/>
    <w:rsid w:val="00FA49D4"/>
    <w:rsid w:val="00FA6643"/>
    <w:rsid w:val="00FA68C1"/>
    <w:rsid w:val="00FA6D77"/>
    <w:rsid w:val="00FA6EF7"/>
    <w:rsid w:val="00FA733A"/>
    <w:rsid w:val="00FA753C"/>
    <w:rsid w:val="00FA75FB"/>
    <w:rsid w:val="00FB01BF"/>
    <w:rsid w:val="00FB14C6"/>
    <w:rsid w:val="00FB26C4"/>
    <w:rsid w:val="00FB29F6"/>
    <w:rsid w:val="00FB3DD3"/>
    <w:rsid w:val="00FB473D"/>
    <w:rsid w:val="00FB4DF0"/>
    <w:rsid w:val="00FB7C8D"/>
    <w:rsid w:val="00FC0A01"/>
    <w:rsid w:val="00FC0E76"/>
    <w:rsid w:val="00FC0F7C"/>
    <w:rsid w:val="00FC135E"/>
    <w:rsid w:val="00FC16EF"/>
    <w:rsid w:val="00FC1817"/>
    <w:rsid w:val="00FC2007"/>
    <w:rsid w:val="00FC2DF0"/>
    <w:rsid w:val="00FC3644"/>
    <w:rsid w:val="00FC6227"/>
    <w:rsid w:val="00FD1A7A"/>
    <w:rsid w:val="00FD1A80"/>
    <w:rsid w:val="00FD2993"/>
    <w:rsid w:val="00FD4BAD"/>
    <w:rsid w:val="00FD590F"/>
    <w:rsid w:val="00FD5CEA"/>
    <w:rsid w:val="00FD5FDC"/>
    <w:rsid w:val="00FD60E7"/>
    <w:rsid w:val="00FD62D4"/>
    <w:rsid w:val="00FD667B"/>
    <w:rsid w:val="00FD773D"/>
    <w:rsid w:val="00FE2AF1"/>
    <w:rsid w:val="00FE2C9F"/>
    <w:rsid w:val="00FE351F"/>
    <w:rsid w:val="00FE6F59"/>
    <w:rsid w:val="00FE7BBB"/>
    <w:rsid w:val="00FE7E82"/>
    <w:rsid w:val="00FF0719"/>
    <w:rsid w:val="00FF0EC6"/>
    <w:rsid w:val="00FF3043"/>
    <w:rsid w:val="00FF3317"/>
    <w:rsid w:val="00FF56AA"/>
    <w:rsid w:val="00FF5D88"/>
    <w:rsid w:val="00FF6B6C"/>
    <w:rsid w:val="00FF76AB"/>
    <w:rsid w:val="00FF7C95"/>
    <w:rsid w:val="019C7DF9"/>
    <w:rsid w:val="01AF35D1"/>
    <w:rsid w:val="038D2B62"/>
    <w:rsid w:val="04716658"/>
    <w:rsid w:val="068E0F51"/>
    <w:rsid w:val="08161CD1"/>
    <w:rsid w:val="084C43AA"/>
    <w:rsid w:val="08BD2550"/>
    <w:rsid w:val="0C7674D4"/>
    <w:rsid w:val="0DC444A6"/>
    <w:rsid w:val="0E3F53D5"/>
    <w:rsid w:val="0E920377"/>
    <w:rsid w:val="0F2B7EF6"/>
    <w:rsid w:val="11CB0ABE"/>
    <w:rsid w:val="12E54A8E"/>
    <w:rsid w:val="15651E9C"/>
    <w:rsid w:val="17377B99"/>
    <w:rsid w:val="17BE5FE3"/>
    <w:rsid w:val="19CF3767"/>
    <w:rsid w:val="1BC2741A"/>
    <w:rsid w:val="1D3E4388"/>
    <w:rsid w:val="1EF075D2"/>
    <w:rsid w:val="20E33285"/>
    <w:rsid w:val="21694D89"/>
    <w:rsid w:val="2494490F"/>
    <w:rsid w:val="2A583806"/>
    <w:rsid w:val="2AF93C02"/>
    <w:rsid w:val="2FB01D49"/>
    <w:rsid w:val="30864541"/>
    <w:rsid w:val="327A7C45"/>
    <w:rsid w:val="35087A27"/>
    <w:rsid w:val="3755784D"/>
    <w:rsid w:val="38B35F7D"/>
    <w:rsid w:val="3BA548E8"/>
    <w:rsid w:val="3F4A7F61"/>
    <w:rsid w:val="412874F2"/>
    <w:rsid w:val="417C24DD"/>
    <w:rsid w:val="43B37EA1"/>
    <w:rsid w:val="440A08B0"/>
    <w:rsid w:val="47820333"/>
    <w:rsid w:val="49202B06"/>
    <w:rsid w:val="4BB61845"/>
    <w:rsid w:val="4C2E4987"/>
    <w:rsid w:val="5609656C"/>
    <w:rsid w:val="57DA7075"/>
    <w:rsid w:val="59522196"/>
    <w:rsid w:val="607F4601"/>
    <w:rsid w:val="63284D3B"/>
    <w:rsid w:val="633330CC"/>
    <w:rsid w:val="695732E1"/>
    <w:rsid w:val="6AAB7660"/>
    <w:rsid w:val="7105557C"/>
    <w:rsid w:val="71614E51"/>
    <w:rsid w:val="718C7330"/>
    <w:rsid w:val="737B5F85"/>
    <w:rsid w:val="775E708B"/>
    <w:rsid w:val="77A26354"/>
    <w:rsid w:val="7810295C"/>
    <w:rsid w:val="78711EA5"/>
    <w:rsid w:val="79A10018"/>
    <w:rsid w:val="7A905722"/>
    <w:rsid w:val="7C63309F"/>
    <w:rsid w:val="7C7C0EB4"/>
    <w:rsid w:val="7CE50175"/>
    <w:rsid w:val="7EB85AF2"/>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v:stroke weight="1.25pt" color="none [3213]"/>
    </o:shapedefaults>
    <o:shapelayout v:ext="edit">
      <o:idmap v:ext="edit" data="1"/>
      <o:rules v:ext="edit">
        <o:r id="V:Rule1" type="connector" idref="#AutoShape 962"/>
        <o:r id="V:Rule2" type="connector" idref="#自选图形 193"/>
        <o:r id="V:Rule3" type="connector" idref="#自选图形 180"/>
        <o:r id="V:Rule4" type="connector" idref="#自选图形 181"/>
        <o:r id="V:Rule5" type="connector" idref="#Straight Connector 274"/>
        <o:r id="V:Rule6" type="connector" idref="#自选图形 170"/>
        <o:r id="V:Rule7" type="connector" idref="#自选图形 174"/>
        <o:r id="V:Rule8" type="connector" idref="#Straight Connector 162"/>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uiPriority w:val="1"/>
    <w:pPr>
      <w:keepNext/>
      <w:keepLines/>
      <w:spacing w:line="360" w:lineRule="auto"/>
      <w:outlineLvl w:val="0"/>
    </w:pPr>
    <w:rPr>
      <w:b/>
      <w:bCs/>
      <w:kern w:val="44"/>
      <w:sz w:val="44"/>
      <w:szCs w:val="44"/>
    </w:rPr>
  </w:style>
  <w:style w:type="paragraph" w:styleId="3">
    <w:name w:val="heading 2"/>
    <w:basedOn w:val="1"/>
    <w:next w:val="1"/>
    <w:link w:val="39"/>
    <w:qFormat/>
    <w:uiPriority w:val="1"/>
    <w:pPr>
      <w:keepNext/>
      <w:keepLines/>
      <w:spacing w:before="260" w:after="260" w:line="416" w:lineRule="auto"/>
      <w:outlineLvl w:val="1"/>
    </w:pPr>
    <w:rPr>
      <w:rFonts w:ascii="Cambria" w:hAnsi="Cambria"/>
      <w:b/>
      <w:bCs/>
      <w:sz w:val="32"/>
      <w:szCs w:val="32"/>
    </w:rPr>
  </w:style>
  <w:style w:type="paragraph" w:styleId="4">
    <w:name w:val="heading 3"/>
    <w:basedOn w:val="1"/>
    <w:next w:val="1"/>
    <w:link w:val="49"/>
    <w:qFormat/>
    <w:uiPriority w:val="1"/>
    <w:pPr>
      <w:autoSpaceDE w:val="0"/>
      <w:autoSpaceDN w:val="0"/>
      <w:ind w:left="232"/>
      <w:jc w:val="left"/>
      <w:outlineLvl w:val="2"/>
    </w:pPr>
    <w:rPr>
      <w:rFonts w:ascii="宋体" w:hAnsi="宋体" w:cs="宋体"/>
      <w:b/>
      <w:bCs/>
      <w:kern w:val="0"/>
      <w:sz w:val="24"/>
      <w:lang w:eastAsia="en-US"/>
    </w:rPr>
  </w:style>
  <w:style w:type="paragraph" w:styleId="5">
    <w:name w:val="heading 4"/>
    <w:basedOn w:val="1"/>
    <w:next w:val="1"/>
    <w:link w:val="53"/>
    <w:unhideWhenUsed/>
    <w:qFormat/>
    <w:uiPriority w:val="9"/>
    <w:pPr>
      <w:keepNext/>
      <w:keepLines/>
      <w:spacing w:before="280" w:after="290" w:line="376" w:lineRule="auto"/>
      <w:outlineLvl w:val="3"/>
    </w:pPr>
    <w:rPr>
      <w:rFonts w:ascii="Cambria" w:hAnsi="Cambria"/>
      <w:b/>
      <w:bCs/>
      <w:kern w:val="0"/>
      <w:sz w:val="28"/>
      <w:szCs w:val="28"/>
    </w:rPr>
  </w:style>
  <w:style w:type="character" w:default="1" w:styleId="24">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56"/>
    <w:unhideWhenUsed/>
    <w:qFormat/>
    <w:uiPriority w:val="0"/>
    <w:rPr>
      <w:b/>
      <w:bCs/>
    </w:rPr>
  </w:style>
  <w:style w:type="paragraph" w:styleId="7">
    <w:name w:val="annotation text"/>
    <w:basedOn w:val="1"/>
    <w:link w:val="55"/>
    <w:unhideWhenUsed/>
    <w:qFormat/>
    <w:uiPriority w:val="0"/>
    <w:pPr>
      <w:jc w:val="left"/>
    </w:pPr>
  </w:style>
  <w:style w:type="paragraph" w:styleId="8">
    <w:name w:val="Normal Indent"/>
    <w:basedOn w:val="1"/>
    <w:link w:val="63"/>
    <w:qFormat/>
    <w:uiPriority w:val="0"/>
    <w:pPr>
      <w:ind w:firstLine="420"/>
    </w:pPr>
    <w:rPr>
      <w:szCs w:val="20"/>
    </w:rPr>
  </w:style>
  <w:style w:type="paragraph" w:styleId="9">
    <w:name w:val="Document Map"/>
    <w:basedOn w:val="1"/>
    <w:link w:val="45"/>
    <w:uiPriority w:val="0"/>
    <w:rPr>
      <w:rFonts w:ascii="宋体"/>
      <w:sz w:val="18"/>
      <w:szCs w:val="18"/>
    </w:rPr>
  </w:style>
  <w:style w:type="paragraph" w:styleId="10">
    <w:name w:val="Body Text"/>
    <w:basedOn w:val="1"/>
    <w:link w:val="48"/>
    <w:unhideWhenUsed/>
    <w:qFormat/>
    <w:uiPriority w:val="1"/>
    <w:pPr>
      <w:spacing w:after="120"/>
    </w:pPr>
  </w:style>
  <w:style w:type="paragraph" w:styleId="11">
    <w:name w:val="Body Text Indent"/>
    <w:basedOn w:val="1"/>
    <w:qFormat/>
    <w:uiPriority w:val="0"/>
    <w:pPr>
      <w:spacing w:line="240" w:lineRule="atLeast"/>
      <w:ind w:firstLine="560" w:firstLineChars="200"/>
    </w:pPr>
    <w:rPr>
      <w:sz w:val="28"/>
    </w:rPr>
  </w:style>
  <w:style w:type="paragraph" w:styleId="12">
    <w:name w:val="toc 5"/>
    <w:basedOn w:val="1"/>
    <w:next w:val="1"/>
    <w:qFormat/>
    <w:uiPriority w:val="39"/>
    <w:pPr>
      <w:ind w:left="1680" w:leftChars="800"/>
    </w:pPr>
  </w:style>
  <w:style w:type="paragraph" w:styleId="13">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14">
    <w:name w:val="Plain Text"/>
    <w:basedOn w:val="1"/>
    <w:link w:val="69"/>
    <w:qFormat/>
    <w:uiPriority w:val="0"/>
    <w:pPr>
      <w:spacing w:before="120" w:after="120"/>
      <w:ind w:firstLine="629"/>
    </w:pPr>
    <w:rPr>
      <w:rFonts w:ascii="宋体" w:hAnsi="Courier New"/>
      <w:sz w:val="30"/>
      <w:szCs w:val="20"/>
    </w:rPr>
  </w:style>
  <w:style w:type="paragraph" w:styleId="15">
    <w:name w:val="Date"/>
    <w:basedOn w:val="1"/>
    <w:next w:val="1"/>
    <w:qFormat/>
    <w:uiPriority w:val="0"/>
    <w:pPr>
      <w:ind w:left="100" w:leftChars="2500"/>
    </w:pPr>
  </w:style>
  <w:style w:type="paragraph" w:styleId="16">
    <w:name w:val="Balloon Text"/>
    <w:basedOn w:val="1"/>
    <w:link w:val="44"/>
    <w:qFormat/>
    <w:uiPriority w:val="99"/>
    <w:rPr>
      <w:sz w:val="18"/>
      <w:szCs w:val="18"/>
    </w:rPr>
  </w:style>
  <w:style w:type="paragraph" w:styleId="17">
    <w:name w:val="footer"/>
    <w:basedOn w:val="1"/>
    <w:link w:val="40"/>
    <w:qFormat/>
    <w:uiPriority w:val="0"/>
    <w:pPr>
      <w:tabs>
        <w:tab w:val="center" w:pos="4153"/>
        <w:tab w:val="right" w:pos="8306"/>
      </w:tabs>
      <w:snapToGrid w:val="0"/>
      <w:jc w:val="left"/>
    </w:pPr>
    <w:rPr>
      <w:sz w:val="18"/>
      <w:szCs w:val="18"/>
    </w:rPr>
  </w:style>
  <w:style w:type="paragraph" w:styleId="18">
    <w:name w:val="header"/>
    <w:basedOn w:val="1"/>
    <w:link w:val="42"/>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widowControl/>
      <w:tabs>
        <w:tab w:val="left" w:pos="540"/>
        <w:tab w:val="right" w:leader="dot" w:pos="8296"/>
      </w:tabs>
      <w:spacing w:after="100" w:line="276" w:lineRule="auto"/>
      <w:jc w:val="left"/>
    </w:pPr>
    <w:rPr>
      <w:b/>
      <w:kern w:val="0"/>
      <w:sz w:val="24"/>
    </w:rPr>
  </w:style>
  <w:style w:type="paragraph" w:styleId="20">
    <w:name w:val="List"/>
    <w:basedOn w:val="1"/>
    <w:qFormat/>
    <w:uiPriority w:val="0"/>
    <w:pPr>
      <w:ind w:left="200" w:hanging="200" w:hangingChars="200"/>
    </w:pPr>
  </w:style>
  <w:style w:type="paragraph" w:styleId="21">
    <w:name w:val="Body Text Indent 3"/>
    <w:basedOn w:val="1"/>
    <w:link w:val="58"/>
    <w:qFormat/>
    <w:uiPriority w:val="0"/>
    <w:pPr>
      <w:spacing w:after="120"/>
      <w:ind w:left="420" w:leftChars="200"/>
    </w:pPr>
    <w:rPr>
      <w:sz w:val="16"/>
      <w:szCs w:val="16"/>
    </w:rPr>
  </w:style>
  <w:style w:type="paragraph" w:styleId="22">
    <w:name w:val="toc 2"/>
    <w:basedOn w:val="1"/>
    <w:next w:val="1"/>
    <w:unhideWhenUsed/>
    <w:qFormat/>
    <w:uiPriority w:val="39"/>
    <w:pPr>
      <w:widowControl/>
      <w:tabs>
        <w:tab w:val="right" w:leader="dot" w:pos="8296"/>
      </w:tabs>
      <w:spacing w:after="100" w:line="276" w:lineRule="auto"/>
      <w:jc w:val="left"/>
    </w:pPr>
    <w:rPr>
      <w:b/>
      <w:kern w:val="0"/>
      <w:sz w:val="24"/>
    </w:rPr>
  </w:style>
  <w:style w:type="paragraph" w:styleId="23">
    <w:name w:val="Title"/>
    <w:basedOn w:val="1"/>
    <w:next w:val="1"/>
    <w:link w:val="38"/>
    <w:qFormat/>
    <w:uiPriority w:val="0"/>
    <w:pPr>
      <w:spacing w:before="240" w:after="60"/>
      <w:jc w:val="center"/>
      <w:outlineLvl w:val="0"/>
    </w:pPr>
    <w:rPr>
      <w:rFonts w:ascii="Cambria" w:hAnsi="Cambria"/>
      <w:b/>
      <w:bCs/>
      <w:sz w:val="32"/>
      <w:szCs w:val="32"/>
    </w:rPr>
  </w:style>
  <w:style w:type="character" w:styleId="25">
    <w:name w:val="Hyperlink"/>
    <w:unhideWhenUsed/>
    <w:qFormat/>
    <w:uiPriority w:val="99"/>
    <w:rPr>
      <w:color w:val="0000FF"/>
      <w:u w:val="single"/>
    </w:rPr>
  </w:style>
  <w:style w:type="character" w:styleId="26">
    <w:name w:val="annotation reference"/>
    <w:basedOn w:val="24"/>
    <w:unhideWhenUsed/>
    <w:qFormat/>
    <w:uiPriority w:val="0"/>
    <w:rPr>
      <w:sz w:val="21"/>
      <w:szCs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9">
    <w:name w:val="表内容"/>
    <w:basedOn w:val="1"/>
    <w:link w:val="41"/>
    <w:qFormat/>
    <w:uiPriority w:val="0"/>
    <w:pPr>
      <w:snapToGrid w:val="0"/>
      <w:jc w:val="center"/>
    </w:pPr>
    <w:rPr>
      <w:rFonts w:eastAsia="仿宋_GB2312"/>
      <w:kern w:val="0"/>
      <w:szCs w:val="20"/>
    </w:rPr>
  </w:style>
  <w:style w:type="paragraph" w:customStyle="1" w:styleId="30">
    <w:name w:val="二级标题"/>
    <w:basedOn w:val="3"/>
    <w:qFormat/>
    <w:uiPriority w:val="0"/>
    <w:pPr>
      <w:spacing w:before="0" w:after="0" w:line="360" w:lineRule="auto"/>
    </w:pPr>
    <w:rPr>
      <w:rFonts w:ascii="Times New Roman" w:hAnsi="Times New Roman"/>
      <w:sz w:val="24"/>
    </w:rPr>
  </w:style>
  <w:style w:type="paragraph" w:customStyle="1" w:styleId="31">
    <w:name w:val="一级标题"/>
    <w:basedOn w:val="2"/>
    <w:qFormat/>
    <w:uiPriority w:val="0"/>
    <w:pPr>
      <w:jc w:val="left"/>
    </w:pPr>
    <w:rPr>
      <w:sz w:val="28"/>
    </w:rPr>
  </w:style>
  <w:style w:type="paragraph" w:customStyle="1" w:styleId="32">
    <w:name w:val="列出段落1"/>
    <w:basedOn w:val="1"/>
    <w:qFormat/>
    <w:uiPriority w:val="34"/>
    <w:pPr>
      <w:ind w:firstLine="420" w:firstLineChars="200"/>
    </w:pPr>
  </w:style>
  <w:style w:type="paragraph" w:customStyle="1" w:styleId="33">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34">
    <w:name w:val="三级标题"/>
    <w:basedOn w:val="30"/>
    <w:link w:val="68"/>
    <w:qFormat/>
    <w:uiPriority w:val="0"/>
  </w:style>
  <w:style w:type="paragraph" w:customStyle="1" w:styleId="35">
    <w:name w:val="表格2"/>
    <w:basedOn w:val="1"/>
    <w:next w:val="1"/>
    <w:qFormat/>
    <w:uiPriority w:val="0"/>
    <w:pPr>
      <w:adjustRightInd w:val="0"/>
      <w:snapToGrid w:val="0"/>
      <w:spacing w:beforeLines="10" w:afterLines="10" w:line="280" w:lineRule="exact"/>
      <w:ind w:left="-2" w:firstLine="2"/>
      <w:textAlignment w:val="baseline"/>
    </w:pPr>
    <w:rPr>
      <w:rFonts w:hAnsi="楷体_GB2312"/>
      <w:color w:val="000000"/>
      <w:spacing w:val="-8"/>
      <w:szCs w:val="21"/>
    </w:rPr>
  </w:style>
  <w:style w:type="paragraph" w:customStyle="1" w:styleId="36">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7">
    <w:name w:val="列出段落2"/>
    <w:basedOn w:val="1"/>
    <w:unhideWhenUsed/>
    <w:qFormat/>
    <w:uiPriority w:val="99"/>
    <w:pPr>
      <w:ind w:firstLine="420" w:firstLineChars="200"/>
    </w:pPr>
  </w:style>
  <w:style w:type="character" w:customStyle="1" w:styleId="38">
    <w:name w:val="标题 Char"/>
    <w:link w:val="23"/>
    <w:qFormat/>
    <w:uiPriority w:val="0"/>
    <w:rPr>
      <w:rFonts w:ascii="Cambria" w:hAnsi="Cambria" w:cs="Times New Roman"/>
      <w:b/>
      <w:bCs/>
      <w:kern w:val="2"/>
      <w:sz w:val="32"/>
      <w:szCs w:val="32"/>
    </w:rPr>
  </w:style>
  <w:style w:type="character" w:customStyle="1" w:styleId="39">
    <w:name w:val="标题 2 Char"/>
    <w:link w:val="3"/>
    <w:semiHidden/>
    <w:qFormat/>
    <w:uiPriority w:val="0"/>
    <w:rPr>
      <w:rFonts w:ascii="Cambria" w:hAnsi="Cambria" w:eastAsia="宋体" w:cs="Times New Roman"/>
      <w:b/>
      <w:bCs/>
      <w:kern w:val="2"/>
      <w:sz w:val="32"/>
      <w:szCs w:val="32"/>
    </w:rPr>
  </w:style>
  <w:style w:type="character" w:customStyle="1" w:styleId="40">
    <w:name w:val="页脚 Char"/>
    <w:link w:val="17"/>
    <w:qFormat/>
    <w:uiPriority w:val="99"/>
    <w:rPr>
      <w:kern w:val="2"/>
      <w:sz w:val="18"/>
      <w:szCs w:val="18"/>
    </w:rPr>
  </w:style>
  <w:style w:type="character" w:customStyle="1" w:styleId="41">
    <w:name w:val="表内容 Char"/>
    <w:link w:val="29"/>
    <w:qFormat/>
    <w:locked/>
    <w:uiPriority w:val="0"/>
    <w:rPr>
      <w:rFonts w:eastAsia="仿宋_GB2312"/>
      <w:sz w:val="21"/>
    </w:rPr>
  </w:style>
  <w:style w:type="character" w:customStyle="1" w:styleId="42">
    <w:name w:val="页眉 Char"/>
    <w:link w:val="18"/>
    <w:qFormat/>
    <w:uiPriority w:val="99"/>
    <w:rPr>
      <w:kern w:val="2"/>
      <w:sz w:val="18"/>
      <w:szCs w:val="18"/>
    </w:rPr>
  </w:style>
  <w:style w:type="character" w:customStyle="1" w:styleId="43">
    <w:name w:val="标题 1 Char"/>
    <w:link w:val="2"/>
    <w:qFormat/>
    <w:uiPriority w:val="0"/>
    <w:rPr>
      <w:b/>
      <w:bCs/>
      <w:kern w:val="44"/>
      <w:sz w:val="44"/>
      <w:szCs w:val="44"/>
    </w:rPr>
  </w:style>
  <w:style w:type="character" w:customStyle="1" w:styleId="44">
    <w:name w:val="批注框文本 Char"/>
    <w:link w:val="16"/>
    <w:qFormat/>
    <w:uiPriority w:val="99"/>
    <w:rPr>
      <w:kern w:val="2"/>
      <w:sz w:val="18"/>
      <w:szCs w:val="18"/>
    </w:rPr>
  </w:style>
  <w:style w:type="character" w:customStyle="1" w:styleId="45">
    <w:name w:val="文档结构图 Char"/>
    <w:link w:val="9"/>
    <w:qFormat/>
    <w:uiPriority w:val="0"/>
    <w:rPr>
      <w:rFonts w:ascii="宋体"/>
      <w:kern w:val="2"/>
      <w:sz w:val="18"/>
      <w:szCs w:val="18"/>
    </w:rPr>
  </w:style>
  <w:style w:type="paragraph" w:customStyle="1" w:styleId="46">
    <w:name w:val="Char"/>
    <w:basedOn w:val="1"/>
    <w:qFormat/>
    <w:uiPriority w:val="0"/>
    <w:pPr>
      <w:spacing w:after="160" w:line="240" w:lineRule="exact"/>
      <w:jc w:val="left"/>
    </w:pPr>
    <w:rPr>
      <w:szCs w:val="20"/>
    </w:rPr>
  </w:style>
  <w:style w:type="paragraph" w:customStyle="1" w:styleId="47">
    <w:name w:val="列出段落3"/>
    <w:basedOn w:val="1"/>
    <w:qFormat/>
    <w:uiPriority w:val="1"/>
    <w:pPr>
      <w:ind w:firstLine="420" w:firstLineChars="200"/>
    </w:pPr>
  </w:style>
  <w:style w:type="character" w:customStyle="1" w:styleId="48">
    <w:name w:val="正文文本 Char"/>
    <w:basedOn w:val="24"/>
    <w:link w:val="10"/>
    <w:semiHidden/>
    <w:qFormat/>
    <w:uiPriority w:val="0"/>
    <w:rPr>
      <w:kern w:val="2"/>
      <w:sz w:val="21"/>
      <w:szCs w:val="24"/>
    </w:rPr>
  </w:style>
  <w:style w:type="character" w:customStyle="1" w:styleId="49">
    <w:name w:val="标题 3 Char"/>
    <w:basedOn w:val="24"/>
    <w:link w:val="4"/>
    <w:qFormat/>
    <w:uiPriority w:val="1"/>
    <w:rPr>
      <w:rFonts w:ascii="宋体" w:hAnsi="宋体" w:cs="宋体"/>
      <w:b/>
      <w:bCs/>
      <w:sz w:val="24"/>
      <w:szCs w:val="24"/>
      <w:lang w:eastAsia="en-US"/>
    </w:rPr>
  </w:style>
  <w:style w:type="paragraph" w:customStyle="1" w:styleId="50">
    <w:name w:val="Heading 41"/>
    <w:basedOn w:val="1"/>
    <w:next w:val="1"/>
    <w:unhideWhenUsed/>
    <w:qFormat/>
    <w:uiPriority w:val="9"/>
    <w:pPr>
      <w:keepNext/>
      <w:keepLines/>
      <w:autoSpaceDE w:val="0"/>
      <w:autoSpaceDN w:val="0"/>
      <w:spacing w:before="280" w:after="290" w:line="376" w:lineRule="auto"/>
      <w:jc w:val="left"/>
      <w:outlineLvl w:val="3"/>
    </w:pPr>
    <w:rPr>
      <w:rFonts w:ascii="Cambria" w:hAnsi="Cambria"/>
      <w:b/>
      <w:bCs/>
      <w:kern w:val="0"/>
      <w:sz w:val="28"/>
      <w:szCs w:val="28"/>
      <w:lang w:eastAsia="en-US"/>
    </w:rPr>
  </w:style>
  <w:style w:type="paragraph" w:customStyle="1" w:styleId="51">
    <w:name w:val="Table Paragraph"/>
    <w:basedOn w:val="1"/>
    <w:qFormat/>
    <w:uiPriority w:val="1"/>
    <w:pPr>
      <w:autoSpaceDE w:val="0"/>
      <w:autoSpaceDN w:val="0"/>
      <w:jc w:val="center"/>
    </w:pPr>
    <w:rPr>
      <w:rFonts w:ascii="宋体" w:hAnsi="宋体" w:cs="宋体"/>
      <w:kern w:val="0"/>
      <w:sz w:val="22"/>
      <w:szCs w:val="22"/>
      <w:lang w:eastAsia="en-US"/>
    </w:rPr>
  </w:style>
  <w:style w:type="paragraph" w:customStyle="1" w:styleId="52">
    <w:name w:val="Default"/>
    <w:qFormat/>
    <w:uiPriority w:val="0"/>
    <w:pPr>
      <w:widowControl w:val="0"/>
      <w:autoSpaceDE w:val="0"/>
      <w:autoSpaceDN w:val="0"/>
      <w:adjustRightInd w:val="0"/>
    </w:pPr>
    <w:rPr>
      <w:rFonts w:ascii="..r..." w:hAnsi="Calibri" w:eastAsia="..r..." w:cs="..r..."/>
      <w:color w:val="000000"/>
      <w:sz w:val="24"/>
      <w:szCs w:val="24"/>
      <w:lang w:val="en-US" w:eastAsia="en-US" w:bidi="ar-SA"/>
    </w:rPr>
  </w:style>
  <w:style w:type="character" w:customStyle="1" w:styleId="53">
    <w:name w:val="标题 4 Char"/>
    <w:basedOn w:val="24"/>
    <w:link w:val="5"/>
    <w:semiHidden/>
    <w:qFormat/>
    <w:uiPriority w:val="9"/>
    <w:rPr>
      <w:rFonts w:ascii="Cambria" w:hAnsi="Cambria" w:eastAsia="宋体" w:cs="Times New Roman"/>
      <w:b/>
      <w:bCs/>
      <w:sz w:val="28"/>
      <w:szCs w:val="28"/>
    </w:rPr>
  </w:style>
  <w:style w:type="character" w:customStyle="1" w:styleId="54">
    <w:name w:val="Heading 4 Char1"/>
    <w:basedOn w:val="24"/>
    <w:semiHidden/>
    <w:qFormat/>
    <w:uiPriority w:val="0"/>
    <w:rPr>
      <w:rFonts w:asciiTheme="majorHAnsi" w:hAnsiTheme="majorHAnsi" w:eastAsiaTheme="majorEastAsia" w:cstheme="majorBidi"/>
      <w:b/>
      <w:bCs/>
      <w:kern w:val="2"/>
      <w:sz w:val="28"/>
      <w:szCs w:val="28"/>
    </w:rPr>
  </w:style>
  <w:style w:type="character" w:customStyle="1" w:styleId="55">
    <w:name w:val="批注文字 Char"/>
    <w:basedOn w:val="24"/>
    <w:link w:val="7"/>
    <w:qFormat/>
    <w:uiPriority w:val="0"/>
    <w:rPr>
      <w:kern w:val="2"/>
      <w:sz w:val="21"/>
      <w:szCs w:val="24"/>
    </w:rPr>
  </w:style>
  <w:style w:type="character" w:customStyle="1" w:styleId="56">
    <w:name w:val="批注主题 Char"/>
    <w:basedOn w:val="55"/>
    <w:link w:val="6"/>
    <w:semiHidden/>
    <w:qFormat/>
    <w:uiPriority w:val="0"/>
    <w:rPr>
      <w:b/>
      <w:bCs/>
      <w:kern w:val="2"/>
      <w:sz w:val="21"/>
      <w:szCs w:val="24"/>
    </w:rPr>
  </w:style>
  <w:style w:type="paragraph" w:customStyle="1" w:styleId="57">
    <w:name w:val="列出段落4"/>
    <w:basedOn w:val="1"/>
    <w:unhideWhenUsed/>
    <w:qFormat/>
    <w:uiPriority w:val="99"/>
    <w:pPr>
      <w:ind w:firstLine="420" w:firstLineChars="200"/>
    </w:pPr>
  </w:style>
  <w:style w:type="character" w:customStyle="1" w:styleId="58">
    <w:name w:val="正文文本缩进 3 Char"/>
    <w:basedOn w:val="24"/>
    <w:link w:val="21"/>
    <w:qFormat/>
    <w:uiPriority w:val="0"/>
    <w:rPr>
      <w:kern w:val="2"/>
      <w:sz w:val="16"/>
      <w:szCs w:val="16"/>
    </w:rPr>
  </w:style>
  <w:style w:type="paragraph" w:customStyle="1" w:styleId="59">
    <w:name w:val="Char1"/>
    <w:basedOn w:val="1"/>
    <w:qFormat/>
    <w:uiPriority w:val="0"/>
    <w:rPr>
      <w:sz w:val="24"/>
    </w:rPr>
  </w:style>
  <w:style w:type="paragraph" w:customStyle="1" w:styleId="60">
    <w:name w:val="报告"/>
    <w:basedOn w:val="1"/>
    <w:link w:val="61"/>
    <w:qFormat/>
    <w:uiPriority w:val="0"/>
    <w:pPr>
      <w:overflowPunct w:val="0"/>
      <w:autoSpaceDE w:val="0"/>
      <w:autoSpaceDN w:val="0"/>
      <w:adjustRightInd w:val="0"/>
      <w:spacing w:beforeLines="30" w:afterLines="30" w:line="400" w:lineRule="atLeast"/>
      <w:ind w:left="200" w:leftChars="200" w:firstLine="200" w:firstLineChars="200"/>
      <w:textAlignment w:val="baseline"/>
    </w:pPr>
    <w:rPr>
      <w:kern w:val="0"/>
      <w:sz w:val="24"/>
      <w:szCs w:val="20"/>
    </w:rPr>
  </w:style>
  <w:style w:type="character" w:customStyle="1" w:styleId="61">
    <w:name w:val="报告 Char"/>
    <w:basedOn w:val="24"/>
    <w:link w:val="60"/>
    <w:qFormat/>
    <w:uiPriority w:val="0"/>
    <w:rPr>
      <w:sz w:val="24"/>
    </w:rPr>
  </w:style>
  <w:style w:type="paragraph" w:customStyle="1" w:styleId="62">
    <w:name w:val="正文正本 + 宋体"/>
    <w:basedOn w:val="1"/>
    <w:qFormat/>
    <w:uiPriority w:val="0"/>
    <w:pPr>
      <w:widowControl/>
      <w:spacing w:line="360" w:lineRule="auto"/>
      <w:ind w:firstLine="510"/>
      <w:jc w:val="left"/>
    </w:pPr>
    <w:rPr>
      <w:rFonts w:ascii="宋体" w:hAnsi="宋体"/>
      <w:kern w:val="0"/>
      <w:sz w:val="24"/>
    </w:rPr>
  </w:style>
  <w:style w:type="character" w:customStyle="1" w:styleId="63">
    <w:name w:val="正文缩进 Char"/>
    <w:basedOn w:val="24"/>
    <w:link w:val="8"/>
    <w:qFormat/>
    <w:uiPriority w:val="0"/>
    <w:rPr>
      <w:kern w:val="2"/>
      <w:sz w:val="21"/>
    </w:rPr>
  </w:style>
  <w:style w:type="paragraph" w:customStyle="1" w:styleId="64">
    <w:name w:val="Char1 Char Char Char"/>
    <w:basedOn w:val="1"/>
    <w:qFormat/>
    <w:uiPriority w:val="0"/>
    <w:pPr>
      <w:widowControl/>
      <w:jc w:val="left"/>
    </w:pPr>
    <w:rPr>
      <w:rFonts w:ascii="宋体" w:hAnsi="宋体" w:cs="宋体"/>
      <w:kern w:val="0"/>
      <w:sz w:val="24"/>
      <w:szCs w:val="20"/>
    </w:rPr>
  </w:style>
  <w:style w:type="paragraph" w:customStyle="1" w:styleId="65">
    <w:name w:val="表文"/>
    <w:basedOn w:val="1"/>
    <w:link w:val="66"/>
    <w:qFormat/>
    <w:uiPriority w:val="0"/>
    <w:pPr>
      <w:autoSpaceDE w:val="0"/>
      <w:autoSpaceDN w:val="0"/>
      <w:adjustRightInd w:val="0"/>
      <w:spacing w:line="360" w:lineRule="atLeast"/>
      <w:jc w:val="center"/>
      <w:textAlignment w:val="baseline"/>
    </w:pPr>
    <w:rPr>
      <w:rFonts w:ascii="宋体" w:hAnsi="Tms Rmn"/>
      <w:kern w:val="0"/>
      <w:sz w:val="24"/>
      <w:szCs w:val="20"/>
    </w:rPr>
  </w:style>
  <w:style w:type="character" w:customStyle="1" w:styleId="66">
    <w:name w:val="表文 Char"/>
    <w:link w:val="65"/>
    <w:qFormat/>
    <w:locked/>
    <w:uiPriority w:val="0"/>
    <w:rPr>
      <w:rFonts w:ascii="宋体" w:hAnsi="Tms Rmn"/>
      <w:sz w:val="24"/>
    </w:rPr>
  </w:style>
  <w:style w:type="paragraph" w:customStyle="1" w:styleId="67">
    <w:name w:val="10版文中图片标题"/>
    <w:basedOn w:val="1"/>
    <w:qFormat/>
    <w:uiPriority w:val="0"/>
    <w:pPr>
      <w:snapToGrid w:val="0"/>
      <w:jc w:val="center"/>
    </w:pPr>
    <w:rPr>
      <w:rFonts w:ascii="黑体" w:eastAsia="黑体"/>
      <w:szCs w:val="21"/>
    </w:rPr>
  </w:style>
  <w:style w:type="character" w:customStyle="1" w:styleId="68">
    <w:name w:val="三级标题 Char Char"/>
    <w:link w:val="34"/>
    <w:qFormat/>
    <w:uiPriority w:val="0"/>
    <w:rPr>
      <w:b/>
      <w:bCs/>
      <w:kern w:val="2"/>
      <w:sz w:val="24"/>
      <w:szCs w:val="32"/>
    </w:rPr>
  </w:style>
  <w:style w:type="character" w:customStyle="1" w:styleId="69">
    <w:name w:val="纯文本 Char"/>
    <w:basedOn w:val="24"/>
    <w:link w:val="14"/>
    <w:qFormat/>
    <w:uiPriority w:val="0"/>
    <w:rPr>
      <w:rFonts w:ascii="宋体" w:hAnsi="Courier New"/>
      <w:kern w:val="2"/>
      <w:sz w:val="30"/>
    </w:rPr>
  </w:style>
  <w:style w:type="paragraph" w:customStyle="1" w:styleId="70">
    <w:name w:val="表格文字"/>
    <w:basedOn w:val="1"/>
    <w:qFormat/>
    <w:uiPriority w:val="0"/>
    <w:pPr>
      <w:tabs>
        <w:tab w:val="left" w:pos="-2848"/>
      </w:tabs>
      <w:jc w:val="center"/>
    </w:pPr>
    <w:rPr>
      <w:position w:val="-10"/>
      <w:szCs w:val="20"/>
    </w:rPr>
  </w:style>
  <w:style w:type="paragraph" w:customStyle="1" w:styleId="71">
    <w:name w:val="报告表  段"/>
    <w:basedOn w:val="1"/>
    <w:link w:val="72"/>
    <w:qFormat/>
    <w:uiPriority w:val="0"/>
    <w:pPr>
      <w:adjustRightInd w:val="0"/>
      <w:spacing w:line="360" w:lineRule="auto"/>
      <w:ind w:firstLine="505"/>
      <w:textAlignment w:val="baseline"/>
    </w:pPr>
    <w:rPr>
      <w:rFonts w:ascii="宋体"/>
      <w:kern w:val="0"/>
      <w:sz w:val="24"/>
      <w:szCs w:val="20"/>
    </w:rPr>
  </w:style>
  <w:style w:type="character" w:customStyle="1" w:styleId="72">
    <w:name w:val="报告表  段 Char"/>
    <w:basedOn w:val="24"/>
    <w:link w:val="71"/>
    <w:qFormat/>
    <w:locked/>
    <w:uiPriority w:val="0"/>
    <w:rPr>
      <w:rFonts w:ascii="宋体"/>
      <w:sz w:val="24"/>
    </w:rPr>
  </w:style>
  <w:style w:type="paragraph" w:customStyle="1" w:styleId="73">
    <w:name w:val="Char2"/>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1026"/>
    <customShpInfo spid="_x0000_s1140"/>
    <customShpInfo spid="_x0000_s1139"/>
    <customShpInfo spid="_x0000_s1138"/>
    <customShpInfo spid="_x0000_s1137"/>
    <customShpInfo spid="_x0000_s114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43"/>
    <customShpInfo spid="_x0000_s1037"/>
    <customShpInfo spid="_x0000_s1038"/>
    <customShpInfo spid="_x0000_s1040"/>
    <customShpInfo spid="_x0000_s1039"/>
    <customShpInfo spid="_x0000_s1041"/>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A7EDD8-3239-484F-B4C3-657D657BAAA5}">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66</Pages>
  <Words>2448</Words>
  <Characters>13958</Characters>
  <Lines>116</Lines>
  <Paragraphs>32</Paragraphs>
  <ScaleCrop>false</ScaleCrop>
  <LinksUpToDate>false</LinksUpToDate>
  <CharactersWithSpaces>16374</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2016-12-14T06:32:00Z</dcterms:created>
  <dc:creator>微软用户</dc:creator>
  <cp:lastModifiedBy>李紫蕾</cp:lastModifiedBy>
  <cp:lastPrinted>2017-04-27T08:56:00Z</cp:lastPrinted>
  <dcterms:modified xsi:type="dcterms:W3CDTF">2017-09-01T00:51:07Z</dcterms:modified>
  <cp:revision>381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