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146" w:line="936" w:lineRule="exact"/>
        <w:ind w:right="491"/>
        <w:rPr>
          <w:kern w:val="0"/>
          <w:sz w:val="20"/>
        </w:rPr>
      </w:pPr>
    </w:p>
    <w:p>
      <w:pPr>
        <w:autoSpaceDE w:val="0"/>
        <w:autoSpaceDN w:val="0"/>
        <w:spacing w:before="146" w:line="936" w:lineRule="exact"/>
        <w:ind w:right="491"/>
        <w:jc w:val="center"/>
        <w:rPr>
          <w:b/>
          <w:w w:val="95"/>
          <w:kern w:val="0"/>
          <w:sz w:val="72"/>
          <w:szCs w:val="22"/>
        </w:rPr>
      </w:pPr>
      <w:r>
        <w:rPr>
          <w:b/>
          <w:w w:val="95"/>
          <w:kern w:val="0"/>
          <w:sz w:val="72"/>
          <w:szCs w:val="22"/>
        </w:rPr>
        <w:t>建</w:t>
      </w:r>
      <w:r>
        <w:rPr>
          <w:rFonts w:hint="eastAsia"/>
          <w:b/>
          <w:w w:val="95"/>
          <w:kern w:val="0"/>
          <w:sz w:val="72"/>
          <w:szCs w:val="22"/>
          <w:lang w:val="en-US" w:eastAsia="zh-CN"/>
        </w:rPr>
        <w:t>设</w:t>
      </w:r>
      <w:bookmarkStart w:id="11" w:name="_GoBack"/>
      <w:bookmarkEnd w:id="11"/>
      <w:r>
        <w:rPr>
          <w:b/>
          <w:w w:val="95"/>
          <w:kern w:val="0"/>
          <w:sz w:val="72"/>
          <w:szCs w:val="22"/>
        </w:rPr>
        <w:t>项目竣工环境保护</w:t>
      </w:r>
    </w:p>
    <w:p>
      <w:pPr>
        <w:autoSpaceDE w:val="0"/>
        <w:autoSpaceDN w:val="0"/>
        <w:spacing w:before="146" w:line="936" w:lineRule="exact"/>
        <w:ind w:right="491"/>
        <w:jc w:val="center"/>
        <w:rPr>
          <w:b/>
          <w:kern w:val="0"/>
          <w:sz w:val="72"/>
          <w:szCs w:val="22"/>
        </w:rPr>
      </w:pPr>
      <w:r>
        <w:rPr>
          <w:b/>
          <w:w w:val="95"/>
          <w:kern w:val="0"/>
          <w:sz w:val="72"/>
          <w:szCs w:val="22"/>
        </w:rPr>
        <w:t>验收监测表</w:t>
      </w:r>
    </w:p>
    <w:p>
      <w:pPr>
        <w:autoSpaceDE w:val="0"/>
        <w:autoSpaceDN w:val="0"/>
        <w:spacing w:before="146" w:line="936" w:lineRule="exact"/>
        <w:ind w:right="491"/>
        <w:jc w:val="center"/>
        <w:rPr>
          <w:b/>
          <w:kern w:val="0"/>
          <w:sz w:val="72"/>
          <w:szCs w:val="22"/>
        </w:rPr>
      </w:pPr>
      <w:r>
        <w:rPr>
          <w:kern w:val="0"/>
          <w:sz w:val="32"/>
          <w:szCs w:val="36"/>
        </w:rPr>
        <w:t>华测</w:t>
      </w:r>
      <w:r>
        <w:rPr>
          <w:rFonts w:hint="eastAsia"/>
          <w:kern w:val="0"/>
          <w:sz w:val="32"/>
          <w:szCs w:val="36"/>
        </w:rPr>
        <w:t>深</w:t>
      </w:r>
      <w:r>
        <w:rPr>
          <w:kern w:val="0"/>
          <w:sz w:val="32"/>
          <w:szCs w:val="36"/>
        </w:rPr>
        <w:t>验字</w:t>
      </w:r>
      <w:r>
        <w:rPr>
          <w:rFonts w:hint="eastAsia"/>
          <w:kern w:val="0"/>
          <w:sz w:val="32"/>
          <w:szCs w:val="36"/>
        </w:rPr>
        <w:t>[2017]</w:t>
      </w:r>
      <w:r>
        <w:rPr>
          <w:kern w:val="0"/>
          <w:sz w:val="32"/>
          <w:szCs w:val="36"/>
        </w:rPr>
        <w:t>第</w:t>
      </w:r>
      <w:r>
        <w:rPr>
          <w:rFonts w:hint="eastAsia"/>
          <w:kern w:val="0"/>
          <w:sz w:val="32"/>
          <w:szCs w:val="36"/>
        </w:rPr>
        <w:t>050</w:t>
      </w:r>
      <w:r>
        <w:rPr>
          <w:kern w:val="0"/>
          <w:sz w:val="32"/>
          <w:szCs w:val="36"/>
        </w:rPr>
        <w:t>7号</w:t>
      </w:r>
    </w:p>
    <w:p>
      <w:pPr>
        <w:autoSpaceDE w:val="0"/>
        <w:autoSpaceDN w:val="0"/>
        <w:jc w:val="left"/>
        <w:rPr>
          <w:b/>
          <w:kern w:val="0"/>
          <w:sz w:val="40"/>
        </w:rPr>
      </w:pPr>
    </w:p>
    <w:p>
      <w:pPr>
        <w:autoSpaceDE w:val="0"/>
        <w:autoSpaceDN w:val="0"/>
        <w:jc w:val="left"/>
        <w:rPr>
          <w:b/>
          <w:kern w:val="0"/>
          <w:sz w:val="40"/>
        </w:rPr>
      </w:pPr>
    </w:p>
    <w:p>
      <w:pPr>
        <w:autoSpaceDE w:val="0"/>
        <w:autoSpaceDN w:val="0"/>
        <w:jc w:val="left"/>
        <w:rPr>
          <w:b/>
          <w:kern w:val="0"/>
          <w:sz w:val="40"/>
        </w:rPr>
      </w:pPr>
    </w:p>
    <w:p>
      <w:pPr>
        <w:autoSpaceDE w:val="0"/>
        <w:autoSpaceDN w:val="0"/>
        <w:jc w:val="left"/>
        <w:rPr>
          <w:b/>
          <w:kern w:val="0"/>
          <w:sz w:val="40"/>
        </w:rPr>
      </w:pPr>
    </w:p>
    <w:p>
      <w:pPr>
        <w:autoSpaceDE w:val="0"/>
        <w:autoSpaceDN w:val="0"/>
        <w:jc w:val="left"/>
        <w:rPr>
          <w:b/>
          <w:kern w:val="0"/>
          <w:sz w:val="40"/>
        </w:rPr>
      </w:pPr>
    </w:p>
    <w:p>
      <w:pPr>
        <w:autoSpaceDE w:val="0"/>
        <w:autoSpaceDN w:val="0"/>
        <w:jc w:val="left"/>
        <w:rPr>
          <w:b/>
          <w:kern w:val="0"/>
          <w:sz w:val="40"/>
        </w:rPr>
      </w:pPr>
    </w:p>
    <w:p>
      <w:pPr>
        <w:autoSpaceDE w:val="0"/>
        <w:autoSpaceDN w:val="0"/>
        <w:adjustRightInd w:val="0"/>
        <w:jc w:val="center"/>
        <w:rPr>
          <w:b/>
          <w:kern w:val="0"/>
          <w:sz w:val="36"/>
          <w:szCs w:val="32"/>
        </w:rPr>
      </w:pPr>
      <w:r>
        <w:rPr>
          <w:b/>
          <w:kern w:val="0"/>
          <w:sz w:val="36"/>
          <w:szCs w:val="32"/>
        </w:rPr>
        <w:t>项目名称：</w:t>
      </w:r>
      <w:r>
        <w:rPr>
          <w:rFonts w:hint="eastAsia"/>
          <w:b/>
          <w:kern w:val="0"/>
          <w:sz w:val="36"/>
          <w:szCs w:val="32"/>
          <w:u w:val="single"/>
        </w:rPr>
        <w:t>样板王制造（深圳）有限公司新建项目</w:t>
      </w:r>
    </w:p>
    <w:p>
      <w:pPr>
        <w:autoSpaceDE w:val="0"/>
        <w:autoSpaceDN w:val="0"/>
        <w:adjustRightInd w:val="0"/>
        <w:rPr>
          <w:b/>
          <w:kern w:val="0"/>
          <w:sz w:val="36"/>
          <w:szCs w:val="32"/>
        </w:rPr>
      </w:pPr>
    </w:p>
    <w:p>
      <w:pPr>
        <w:autoSpaceDE w:val="0"/>
        <w:autoSpaceDN w:val="0"/>
        <w:adjustRightInd w:val="0"/>
        <w:rPr>
          <w:b/>
          <w:kern w:val="0"/>
          <w:sz w:val="36"/>
          <w:szCs w:val="32"/>
        </w:rPr>
      </w:pPr>
      <w:r>
        <w:rPr>
          <w:b/>
          <w:kern w:val="0"/>
          <w:sz w:val="36"/>
          <w:szCs w:val="32"/>
        </w:rPr>
        <w:t>建设单位：</w:t>
      </w:r>
      <w:r>
        <w:rPr>
          <w:rFonts w:hint="eastAsia"/>
          <w:b/>
          <w:kern w:val="0"/>
          <w:sz w:val="36"/>
          <w:szCs w:val="32"/>
          <w:u w:val="single"/>
        </w:rPr>
        <w:t>SAMPLE GROUP ASIA PACIFIC LIMITED</w:t>
      </w: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spacing w:before="12"/>
        <w:jc w:val="left"/>
        <w:rPr>
          <w:b/>
          <w:kern w:val="0"/>
          <w:sz w:val="40"/>
        </w:rPr>
      </w:pPr>
    </w:p>
    <w:p>
      <w:pPr>
        <w:autoSpaceDE w:val="0"/>
        <w:autoSpaceDN w:val="0"/>
        <w:adjustRightInd w:val="0"/>
        <w:jc w:val="center"/>
        <w:rPr>
          <w:sz w:val="32"/>
          <w:szCs w:val="44"/>
        </w:rPr>
      </w:pPr>
      <w:r>
        <w:rPr>
          <w:sz w:val="32"/>
          <w:szCs w:val="44"/>
        </w:rPr>
        <w:t>华测检测认证集团股份有限公司</w:t>
      </w:r>
    </w:p>
    <w:p>
      <w:pPr>
        <w:autoSpaceDE w:val="0"/>
        <w:autoSpaceDN w:val="0"/>
        <w:adjustRightInd w:val="0"/>
        <w:jc w:val="center"/>
        <w:rPr>
          <w:sz w:val="32"/>
          <w:szCs w:val="44"/>
        </w:rPr>
        <w:sectPr>
          <w:headerReference r:id="rId3" w:type="default"/>
          <w:pgSz w:w="11910" w:h="16840"/>
          <w:pgMar w:top="1580" w:right="1420" w:bottom="280" w:left="1680" w:header="720" w:footer="720" w:gutter="0"/>
          <w:cols w:space="720" w:num="1"/>
        </w:sectPr>
      </w:pPr>
      <w:r>
        <w:rPr>
          <w:sz w:val="32"/>
          <w:szCs w:val="44"/>
        </w:rPr>
        <w:t>二</w:t>
      </w:r>
      <w:r>
        <w:rPr>
          <w:rFonts w:hint="eastAsia"/>
          <w:sz w:val="32"/>
          <w:szCs w:val="44"/>
        </w:rPr>
        <w:t>零</w:t>
      </w:r>
      <w:r>
        <w:rPr>
          <w:sz w:val="32"/>
          <w:szCs w:val="44"/>
        </w:rPr>
        <w:t>一</w:t>
      </w:r>
      <w:r>
        <w:rPr>
          <w:rFonts w:hint="eastAsia"/>
          <w:sz w:val="32"/>
          <w:szCs w:val="44"/>
        </w:rPr>
        <w:t>七</w:t>
      </w:r>
      <w:r>
        <w:rPr>
          <w:sz w:val="32"/>
          <w:szCs w:val="44"/>
        </w:rPr>
        <w:t>年</w:t>
      </w:r>
      <w:r>
        <w:rPr>
          <w:rFonts w:hint="eastAsia"/>
          <w:sz w:val="32"/>
          <w:szCs w:val="44"/>
        </w:rPr>
        <w:t>六</w:t>
      </w:r>
      <w:r>
        <w:rPr>
          <w:sz w:val="32"/>
          <w:szCs w:val="44"/>
        </w:rPr>
        <w:t>月</w:t>
      </w:r>
    </w:p>
    <w:tbl>
      <w:tblPr>
        <w:tblStyle w:val="20"/>
        <w:tblW w:w="8687" w:type="dxa"/>
        <w:tblInd w:w="0" w:type="dxa"/>
        <w:tblLayout w:type="fixed"/>
        <w:tblCellMar>
          <w:top w:w="0" w:type="dxa"/>
          <w:left w:w="108" w:type="dxa"/>
          <w:bottom w:w="0" w:type="dxa"/>
          <w:right w:w="108" w:type="dxa"/>
        </w:tblCellMar>
      </w:tblPr>
      <w:tblGrid>
        <w:gridCol w:w="2349"/>
        <w:gridCol w:w="6173"/>
        <w:gridCol w:w="165"/>
      </w:tblGrid>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r>
              <w:rPr>
                <w:sz w:val="28"/>
                <w:szCs w:val="28"/>
              </w:rPr>
              <w:t>承担单位：</w:t>
            </w:r>
          </w:p>
        </w:tc>
        <w:tc>
          <w:tcPr>
            <w:tcW w:w="6338" w:type="dxa"/>
            <w:gridSpan w:val="2"/>
          </w:tcPr>
          <w:p>
            <w:pPr>
              <w:spacing w:line="480" w:lineRule="auto"/>
            </w:pPr>
            <w:r>
              <w:rPr>
                <w:sz w:val="28"/>
                <w:szCs w:val="28"/>
              </w:rPr>
              <w:t>华测检测认证集团股份有限公司</w:t>
            </w: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r>
              <w:rPr>
                <w:sz w:val="28"/>
                <w:szCs w:val="28"/>
              </w:rPr>
              <w:t>项目负责人：</w:t>
            </w:r>
          </w:p>
        </w:tc>
        <w:tc>
          <w:tcPr>
            <w:tcW w:w="6338" w:type="dxa"/>
            <w:gridSpan w:val="2"/>
          </w:tcPr>
          <w:p/>
        </w:tc>
      </w:tr>
      <w:tr>
        <w:tblPrEx>
          <w:tblLayout w:type="fixed"/>
          <w:tblCellMar>
            <w:top w:w="0" w:type="dxa"/>
            <w:left w:w="108" w:type="dxa"/>
            <w:bottom w:w="0" w:type="dxa"/>
            <w:right w:w="108" w:type="dxa"/>
          </w:tblCellMar>
        </w:tblPrEx>
        <w:tc>
          <w:tcPr>
            <w:tcW w:w="2349" w:type="dxa"/>
          </w:tcPr>
          <w:p>
            <w:pPr>
              <w:spacing w:line="480" w:lineRule="auto"/>
              <w:rPr>
                <w:sz w:val="28"/>
                <w:szCs w:val="28"/>
              </w:rPr>
            </w:pPr>
            <w:r>
              <w:rPr>
                <w:sz w:val="28"/>
                <w:szCs w:val="28"/>
              </w:rPr>
              <w:t>报</w:t>
            </w:r>
            <w:r>
              <w:rPr>
                <w:rFonts w:hint="eastAsia"/>
                <w:sz w:val="28"/>
                <w:szCs w:val="28"/>
              </w:rPr>
              <w:t xml:space="preserve"> </w:t>
            </w:r>
            <w:r>
              <w:rPr>
                <w:sz w:val="28"/>
                <w:szCs w:val="28"/>
              </w:rPr>
              <w:t>告</w:t>
            </w:r>
            <w:r>
              <w:rPr>
                <w:rFonts w:hint="eastAsia"/>
                <w:sz w:val="28"/>
                <w:szCs w:val="28"/>
              </w:rPr>
              <w:t xml:space="preserve"> </w:t>
            </w:r>
            <w:r>
              <w:rPr>
                <w:sz w:val="28"/>
                <w:szCs w:val="28"/>
              </w:rPr>
              <w:t>编</w:t>
            </w:r>
            <w:r>
              <w:rPr>
                <w:rFonts w:hint="eastAsia"/>
                <w:sz w:val="28"/>
                <w:szCs w:val="28"/>
              </w:rPr>
              <w:t xml:space="preserve"> </w:t>
            </w:r>
            <w:r>
              <w:rPr>
                <w:sz w:val="28"/>
                <w:szCs w:val="28"/>
              </w:rPr>
              <w:t>写</w:t>
            </w:r>
            <w:r>
              <w:rPr>
                <w:rFonts w:hint="eastAsia"/>
                <w:sz w:val="28"/>
                <w:szCs w:val="28"/>
              </w:rPr>
              <w:t xml:space="preserve">  </w:t>
            </w:r>
            <w:r>
              <w:rPr>
                <w:sz w:val="28"/>
                <w:szCs w:val="28"/>
              </w:rPr>
              <w:t>：</w:t>
            </w:r>
          </w:p>
        </w:tc>
        <w:tc>
          <w:tcPr>
            <w:tcW w:w="6338" w:type="dxa"/>
            <w:gridSpan w:val="2"/>
          </w:tc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r>
              <w:rPr>
                <w:sz w:val="28"/>
                <w:szCs w:val="28"/>
              </w:rPr>
              <w:t>审核人：</w:t>
            </w: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r>
              <w:rPr>
                <w:sz w:val="28"/>
                <w:szCs w:val="28"/>
              </w:rPr>
              <w:t>参加人员：</w:t>
            </w:r>
          </w:p>
        </w:tc>
        <w:tc>
          <w:tcPr>
            <w:tcW w:w="6338" w:type="dxa"/>
            <w:gridSpan w:val="2"/>
            <w:vMerge w:val="restart"/>
          </w:tcPr>
          <w:p>
            <w:pPr>
              <w:spacing w:line="480" w:lineRule="auto"/>
              <w:rPr>
                <w:color w:val="000000"/>
              </w:rPr>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rPr>
          <w:gridAfter w:val="1"/>
          <w:wAfter w:w="165" w:type="dxa"/>
        </w:trPr>
        <w:tc>
          <w:tcPr>
            <w:tcW w:w="8522" w:type="dxa"/>
            <w:gridSpan w:val="2"/>
          </w:tcPr>
          <w:p>
            <w:pPr>
              <w:spacing w:line="480" w:lineRule="auto"/>
              <w:rPr>
                <w:b/>
                <w:sz w:val="24"/>
              </w:rPr>
            </w:pPr>
            <w:r>
              <w:rPr>
                <w:b/>
                <w:sz w:val="24"/>
              </w:rPr>
              <w:t>华测检测认证集团股份有限公司</w:t>
            </w:r>
          </w:p>
          <w:p>
            <w:pPr>
              <w:spacing w:line="288" w:lineRule="auto"/>
              <w:rPr>
                <w:sz w:val="24"/>
              </w:rPr>
            </w:pPr>
            <w:r>
              <w:rPr>
                <w:sz w:val="24"/>
              </w:rPr>
              <w:t>监测委托受理电话：0755-33682667</w:t>
            </w:r>
          </w:p>
          <w:p>
            <w:pPr>
              <w:spacing w:line="288" w:lineRule="auto"/>
              <w:rPr>
                <w:sz w:val="24"/>
              </w:rPr>
            </w:pPr>
            <w:r>
              <w:rPr>
                <w:sz w:val="24"/>
              </w:rPr>
              <w:t>报告质量投诉电话：0755-33683986，33682778</w:t>
            </w:r>
          </w:p>
          <w:p>
            <w:pPr>
              <w:spacing w:line="288" w:lineRule="auto"/>
              <w:rPr>
                <w:sz w:val="24"/>
              </w:rPr>
            </w:pPr>
            <w:r>
              <w:rPr>
                <w:sz w:val="24"/>
              </w:rPr>
              <w:t>传真：0755-33683385</w:t>
            </w:r>
          </w:p>
          <w:p>
            <w:pPr>
              <w:jc w:val="left"/>
            </w:pPr>
            <w:r>
              <w:rPr>
                <w:sz w:val="24"/>
              </w:rPr>
              <w:t xml:space="preserve">邮政编码：518101 </w:t>
            </w:r>
            <w:r>
              <w:br w:type="textWrapping"/>
            </w:r>
            <w:r>
              <w:rPr>
                <w:sz w:val="24"/>
              </w:rPr>
              <w:t>联系地址：深圳市宝安区70区鸿威工业园F栋</w:t>
            </w:r>
          </w:p>
        </w:tc>
      </w:tr>
    </w:tbl>
    <w:p>
      <w:pPr>
        <w:tabs>
          <w:tab w:val="left" w:pos="-720"/>
          <w:tab w:val="left" w:pos="753"/>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9072"/>
          <w:tab w:val="left" w:pos="9648"/>
        </w:tabs>
        <w:suppressAutoHyphens/>
        <w:spacing w:line="360" w:lineRule="auto"/>
        <w:rPr>
          <w:sz w:val="32"/>
        </w:rPr>
        <w:sectPr>
          <w:footerReference r:id="rId4" w:type="default"/>
          <w:pgSz w:w="11906" w:h="16838"/>
          <w:pgMar w:top="1077" w:right="1418" w:bottom="471" w:left="1418" w:header="851" w:footer="992" w:gutter="0"/>
          <w:pgNumType w:start="1"/>
          <w:cols w:space="720" w:num="1"/>
          <w:docGrid w:type="lines" w:linePitch="312" w:charSpace="0"/>
        </w:sectPr>
      </w:pPr>
    </w:p>
    <w:p>
      <w:pPr>
        <w:rPr>
          <w:b/>
          <w:sz w:val="28"/>
        </w:rPr>
      </w:pPr>
      <w:r>
        <w:rPr>
          <w:b/>
          <w:sz w:val="28"/>
        </w:rPr>
        <w:t>表一</w:t>
      </w:r>
    </w:p>
    <w:tbl>
      <w:tblPr>
        <w:tblStyle w:val="20"/>
        <w:tblW w:w="9341"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76"/>
        <w:gridCol w:w="1862"/>
        <w:gridCol w:w="1276"/>
        <w:gridCol w:w="1090"/>
        <w:gridCol w:w="611"/>
        <w:gridCol w:w="620"/>
        <w:gridCol w:w="1223"/>
        <w:gridCol w:w="9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676" w:type="dxa"/>
            <w:vAlign w:val="center"/>
          </w:tcPr>
          <w:p>
            <w:pPr>
              <w:adjustRightInd w:val="0"/>
              <w:snapToGrid w:val="0"/>
              <w:spacing w:line="276" w:lineRule="auto"/>
              <w:jc w:val="center"/>
              <w:rPr>
                <w:sz w:val="24"/>
                <w:szCs w:val="52"/>
              </w:rPr>
            </w:pPr>
            <w:r>
              <w:rPr>
                <w:sz w:val="24"/>
                <w:szCs w:val="52"/>
              </w:rPr>
              <w:t>建设项目名称</w:t>
            </w:r>
          </w:p>
        </w:tc>
        <w:tc>
          <w:tcPr>
            <w:tcW w:w="7665" w:type="dxa"/>
            <w:gridSpan w:val="7"/>
            <w:vAlign w:val="center"/>
          </w:tcPr>
          <w:p>
            <w:pPr>
              <w:adjustRightInd w:val="0"/>
              <w:snapToGrid w:val="0"/>
              <w:spacing w:line="276" w:lineRule="auto"/>
              <w:jc w:val="center"/>
              <w:rPr>
                <w:sz w:val="24"/>
                <w:szCs w:val="52"/>
              </w:rPr>
            </w:pPr>
            <w:r>
              <w:rPr>
                <w:rFonts w:hint="eastAsia"/>
                <w:sz w:val="24"/>
              </w:rPr>
              <w:t>样板王制造（深圳）有限公司新建项目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676" w:type="dxa"/>
            <w:vAlign w:val="center"/>
          </w:tcPr>
          <w:p>
            <w:pPr>
              <w:adjustRightInd w:val="0"/>
              <w:snapToGrid w:val="0"/>
              <w:spacing w:line="276" w:lineRule="auto"/>
              <w:jc w:val="center"/>
              <w:rPr>
                <w:sz w:val="24"/>
                <w:szCs w:val="52"/>
              </w:rPr>
            </w:pPr>
            <w:r>
              <w:rPr>
                <w:sz w:val="24"/>
                <w:szCs w:val="52"/>
              </w:rPr>
              <w:t>建设单位名称</w:t>
            </w:r>
          </w:p>
        </w:tc>
        <w:tc>
          <w:tcPr>
            <w:tcW w:w="7665" w:type="dxa"/>
            <w:gridSpan w:val="7"/>
            <w:vAlign w:val="center"/>
          </w:tcPr>
          <w:p>
            <w:pPr>
              <w:adjustRightInd w:val="0"/>
              <w:snapToGrid w:val="0"/>
              <w:spacing w:line="276" w:lineRule="auto"/>
              <w:jc w:val="center"/>
              <w:rPr>
                <w:sz w:val="24"/>
                <w:szCs w:val="52"/>
              </w:rPr>
            </w:pPr>
            <w:r>
              <w:rPr>
                <w:rFonts w:hint="eastAsia"/>
                <w:sz w:val="24"/>
              </w:rPr>
              <w:t>SAMPLE GROUP ASIA PACIFIC LIMITED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676" w:type="dxa"/>
            <w:vAlign w:val="center"/>
          </w:tcPr>
          <w:p>
            <w:pPr>
              <w:adjustRightInd w:val="0"/>
              <w:snapToGrid w:val="0"/>
              <w:spacing w:line="276" w:lineRule="auto"/>
              <w:jc w:val="center"/>
              <w:rPr>
                <w:sz w:val="24"/>
                <w:szCs w:val="52"/>
              </w:rPr>
            </w:pPr>
            <w:r>
              <w:rPr>
                <w:sz w:val="24"/>
                <w:szCs w:val="52"/>
              </w:rPr>
              <w:t>项目地点</w:t>
            </w:r>
          </w:p>
        </w:tc>
        <w:tc>
          <w:tcPr>
            <w:tcW w:w="7665" w:type="dxa"/>
            <w:gridSpan w:val="7"/>
            <w:vAlign w:val="center"/>
          </w:tcPr>
          <w:p>
            <w:pPr>
              <w:adjustRightInd w:val="0"/>
              <w:snapToGrid w:val="0"/>
              <w:spacing w:line="276" w:lineRule="auto"/>
              <w:jc w:val="center"/>
              <w:rPr>
                <w:sz w:val="24"/>
                <w:szCs w:val="52"/>
              </w:rPr>
            </w:pPr>
            <w:r>
              <w:rPr>
                <w:rFonts w:hint="eastAsia" w:ascii="宋体" w:hAnsi="宋体" w:cs="宋体"/>
                <w:sz w:val="24"/>
              </w:rPr>
              <w:t>深圳市盐田区沙头角保税区15栋厂房第一层南座及第二层南北座及第三层南北座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676" w:type="dxa"/>
            <w:vAlign w:val="center"/>
          </w:tcPr>
          <w:p>
            <w:pPr>
              <w:adjustRightInd w:val="0"/>
              <w:snapToGrid w:val="0"/>
              <w:spacing w:line="276" w:lineRule="auto"/>
              <w:jc w:val="center"/>
              <w:rPr>
                <w:sz w:val="24"/>
              </w:rPr>
            </w:pPr>
            <w:r>
              <w:rPr>
                <w:sz w:val="24"/>
              </w:rPr>
              <w:t>建设项目性质</w:t>
            </w:r>
          </w:p>
        </w:tc>
        <w:tc>
          <w:tcPr>
            <w:tcW w:w="7665" w:type="dxa"/>
            <w:gridSpan w:val="7"/>
            <w:vAlign w:val="center"/>
          </w:tcPr>
          <w:p>
            <w:pPr>
              <w:autoSpaceDE w:val="0"/>
              <w:autoSpaceDN w:val="0"/>
              <w:adjustRightInd w:val="0"/>
              <w:spacing w:line="276" w:lineRule="auto"/>
              <w:ind w:firstLine="240" w:firstLineChars="100"/>
              <w:jc w:val="center"/>
              <w:rPr>
                <w:sz w:val="24"/>
              </w:rPr>
            </w:pPr>
            <w:r>
              <w:rPr>
                <w:kern w:val="0"/>
                <w:sz w:val="24"/>
              </w:rPr>
              <w:t xml:space="preserve">新建√ </w:t>
            </w:r>
            <w:r>
              <w:rPr>
                <w:rFonts w:hint="eastAsia"/>
                <w:kern w:val="0"/>
                <w:sz w:val="24"/>
              </w:rPr>
              <w:t xml:space="preserve">  </w:t>
            </w:r>
            <w:r>
              <w:rPr>
                <w:kern w:val="0"/>
                <w:sz w:val="24"/>
              </w:rPr>
              <w:t xml:space="preserve">     </w:t>
            </w:r>
            <w:r>
              <w:rPr>
                <w:rFonts w:hint="eastAsia"/>
                <w:kern w:val="0"/>
                <w:sz w:val="24"/>
              </w:rPr>
              <w:t xml:space="preserve"> </w:t>
            </w:r>
            <w:r>
              <w:rPr>
                <w:kern w:val="0"/>
                <w:sz w:val="24"/>
              </w:rPr>
              <w:t>改扩建</w:t>
            </w:r>
            <w:r>
              <w:rPr>
                <w:rFonts w:hint="eastAsia"/>
                <w:kern w:val="0"/>
                <w:sz w:val="24"/>
              </w:rPr>
              <w:t xml:space="preserve"> </w:t>
            </w:r>
            <w:r>
              <w:rPr>
                <w:kern w:val="0"/>
                <w:sz w:val="24"/>
              </w:rPr>
              <w:t xml:space="preserve">    </w:t>
            </w:r>
            <w:r>
              <w:rPr>
                <w:rFonts w:hint="eastAsia"/>
                <w:kern w:val="0"/>
                <w:sz w:val="24"/>
              </w:rPr>
              <w:t xml:space="preserve">  </w:t>
            </w:r>
            <w:r>
              <w:rPr>
                <w:kern w:val="0"/>
                <w:sz w:val="24"/>
              </w:rPr>
              <w:t>技改</w:t>
            </w:r>
            <w:r>
              <w:rPr>
                <w:rFonts w:hint="eastAsia"/>
                <w:kern w:val="0"/>
                <w:sz w:val="24"/>
              </w:rPr>
              <w:t xml:space="preserve"> </w:t>
            </w:r>
            <w:r>
              <w:rPr>
                <w:kern w:val="0"/>
                <w:sz w:val="24"/>
              </w:rPr>
              <w:t xml:space="preserve">     </w:t>
            </w:r>
            <w:r>
              <w:rPr>
                <w:rFonts w:hint="eastAsia"/>
                <w:kern w:val="0"/>
                <w:sz w:val="24"/>
              </w:rPr>
              <w:t xml:space="preserve">  </w:t>
            </w:r>
            <w:r>
              <w:rPr>
                <w:kern w:val="0"/>
                <w:sz w:val="24"/>
              </w:rPr>
              <w:t>迁</w:t>
            </w:r>
            <w:r>
              <w:rPr>
                <w:rFonts w:hint="eastAsia"/>
                <w:kern w:val="0"/>
                <w:sz w:val="24"/>
              </w:rPr>
              <w:t>扩</w:t>
            </w:r>
            <w:r>
              <w:rPr>
                <w:kern w:val="0"/>
                <w:sz w:val="24"/>
              </w:rPr>
              <w:t>建        (划√)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676" w:type="dxa"/>
            <w:vAlign w:val="center"/>
          </w:tcPr>
          <w:p>
            <w:pPr>
              <w:adjustRightInd w:val="0"/>
              <w:snapToGrid w:val="0"/>
              <w:spacing w:line="276" w:lineRule="auto"/>
              <w:jc w:val="center"/>
              <w:rPr>
                <w:sz w:val="24"/>
              </w:rPr>
            </w:pPr>
            <w:r>
              <w:rPr>
                <w:rFonts w:hint="eastAsia"/>
                <w:sz w:val="24"/>
              </w:rPr>
              <w:t>行业类别及代码</w:t>
            </w:r>
          </w:p>
        </w:tc>
        <w:tc>
          <w:tcPr>
            <w:tcW w:w="7665" w:type="dxa"/>
            <w:gridSpan w:val="7"/>
            <w:vAlign w:val="center"/>
          </w:tcPr>
          <w:p>
            <w:pPr>
              <w:autoSpaceDE w:val="0"/>
              <w:autoSpaceDN w:val="0"/>
              <w:adjustRightInd w:val="0"/>
              <w:spacing w:line="276" w:lineRule="auto"/>
              <w:ind w:firstLine="240" w:firstLineChars="100"/>
              <w:jc w:val="center"/>
              <w:rPr>
                <w:kern w:val="0"/>
                <w:sz w:val="24"/>
              </w:rPr>
            </w:pPr>
            <w:r>
              <w:rPr>
                <w:rFonts w:hint="eastAsia"/>
                <w:sz w:val="24"/>
              </w:rPr>
              <w:t>窗帘、布艺类产品制造C1773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676" w:type="dxa"/>
            <w:vAlign w:val="center"/>
          </w:tcPr>
          <w:p>
            <w:pPr>
              <w:adjustRightInd w:val="0"/>
              <w:snapToGrid w:val="0"/>
              <w:spacing w:line="276" w:lineRule="auto"/>
              <w:jc w:val="center"/>
              <w:rPr>
                <w:sz w:val="24"/>
              </w:rPr>
            </w:pPr>
            <w:r>
              <w:rPr>
                <w:sz w:val="24"/>
              </w:rPr>
              <w:t>主要产品名称</w:t>
            </w:r>
          </w:p>
        </w:tc>
        <w:tc>
          <w:tcPr>
            <w:tcW w:w="7665" w:type="dxa"/>
            <w:gridSpan w:val="7"/>
            <w:vAlign w:val="center"/>
          </w:tcPr>
          <w:p>
            <w:pPr>
              <w:autoSpaceDE w:val="0"/>
              <w:autoSpaceDN w:val="0"/>
              <w:adjustRightInd w:val="0"/>
              <w:spacing w:line="276" w:lineRule="auto"/>
              <w:jc w:val="center"/>
              <w:rPr>
                <w:kern w:val="0"/>
                <w:sz w:val="24"/>
              </w:rPr>
            </w:pPr>
            <w:r>
              <w:rPr>
                <w:rFonts w:hint="eastAsia"/>
                <w:sz w:val="24"/>
              </w:rPr>
              <w:t>窗帘、布艺类产品制造C1773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676" w:type="dxa"/>
            <w:vAlign w:val="center"/>
          </w:tcPr>
          <w:p>
            <w:pPr>
              <w:adjustRightInd w:val="0"/>
              <w:snapToGrid w:val="0"/>
              <w:spacing w:line="276" w:lineRule="auto"/>
              <w:jc w:val="center"/>
              <w:rPr>
                <w:sz w:val="24"/>
              </w:rPr>
            </w:pPr>
            <w:r>
              <w:rPr>
                <w:sz w:val="24"/>
              </w:rPr>
              <w:t>设计生产能力</w:t>
            </w:r>
          </w:p>
        </w:tc>
        <w:tc>
          <w:tcPr>
            <w:tcW w:w="7665" w:type="dxa"/>
            <w:gridSpan w:val="7"/>
            <w:vAlign w:val="center"/>
          </w:tcPr>
          <w:p>
            <w:pPr>
              <w:autoSpaceDE w:val="0"/>
              <w:autoSpaceDN w:val="0"/>
              <w:adjustRightInd w:val="0"/>
              <w:spacing w:line="276" w:lineRule="auto"/>
              <w:jc w:val="center"/>
              <w:rPr>
                <w:kern w:val="0"/>
                <w:sz w:val="24"/>
              </w:rPr>
            </w:pPr>
            <w:r>
              <w:rPr>
                <w:rFonts w:hint="eastAsia"/>
                <w:kern w:val="0"/>
                <w:sz w:val="24"/>
              </w:rPr>
              <w:t>年产电铸金银摆件1000kg</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676" w:type="dxa"/>
            <w:vAlign w:val="center"/>
          </w:tcPr>
          <w:p>
            <w:pPr>
              <w:adjustRightInd w:val="0"/>
              <w:snapToGrid w:val="0"/>
              <w:spacing w:line="276" w:lineRule="auto"/>
              <w:jc w:val="center"/>
              <w:rPr>
                <w:sz w:val="24"/>
              </w:rPr>
            </w:pPr>
            <w:r>
              <w:rPr>
                <w:sz w:val="24"/>
              </w:rPr>
              <w:t>实际生产能力</w:t>
            </w:r>
          </w:p>
        </w:tc>
        <w:tc>
          <w:tcPr>
            <w:tcW w:w="7665" w:type="dxa"/>
            <w:gridSpan w:val="7"/>
            <w:vAlign w:val="center"/>
          </w:tcPr>
          <w:p>
            <w:pPr>
              <w:autoSpaceDE w:val="0"/>
              <w:autoSpaceDN w:val="0"/>
              <w:adjustRightInd w:val="0"/>
              <w:spacing w:line="276" w:lineRule="auto"/>
              <w:jc w:val="center"/>
              <w:rPr>
                <w:kern w:val="0"/>
                <w:sz w:val="24"/>
              </w:rPr>
            </w:pPr>
            <w:r>
              <w:rPr>
                <w:rFonts w:hint="eastAsia"/>
                <w:kern w:val="0"/>
                <w:sz w:val="24"/>
              </w:rPr>
              <w:t>年产电铸金银摆件1000kg</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676" w:type="dxa"/>
            <w:vAlign w:val="center"/>
          </w:tcPr>
          <w:p>
            <w:pPr>
              <w:adjustRightInd w:val="0"/>
              <w:snapToGrid w:val="0"/>
              <w:spacing w:line="276" w:lineRule="auto"/>
              <w:jc w:val="center"/>
              <w:rPr>
                <w:sz w:val="24"/>
              </w:rPr>
            </w:pPr>
            <w:r>
              <w:rPr>
                <w:sz w:val="24"/>
              </w:rPr>
              <w:t>环评时间</w:t>
            </w:r>
          </w:p>
        </w:tc>
        <w:tc>
          <w:tcPr>
            <w:tcW w:w="3138" w:type="dxa"/>
            <w:gridSpan w:val="2"/>
            <w:vAlign w:val="center"/>
          </w:tcPr>
          <w:p>
            <w:pPr>
              <w:autoSpaceDE w:val="0"/>
              <w:autoSpaceDN w:val="0"/>
              <w:adjustRightInd w:val="0"/>
              <w:spacing w:line="276" w:lineRule="auto"/>
              <w:jc w:val="center"/>
              <w:rPr>
                <w:kern w:val="0"/>
                <w:sz w:val="24"/>
              </w:rPr>
            </w:pPr>
            <w:r>
              <w:rPr>
                <w:rFonts w:hint="eastAsia"/>
                <w:kern w:val="0"/>
                <w:sz w:val="24"/>
              </w:rPr>
              <w:t>20</w:t>
            </w:r>
            <w:r>
              <w:rPr>
                <w:kern w:val="0"/>
                <w:sz w:val="24"/>
              </w:rPr>
              <w:t>16</w:t>
            </w:r>
            <w:r>
              <w:rPr>
                <w:rFonts w:hint="eastAsia"/>
                <w:kern w:val="0"/>
                <w:sz w:val="24"/>
              </w:rPr>
              <w:t>年</w:t>
            </w:r>
            <w:r>
              <w:rPr>
                <w:kern w:val="0"/>
                <w:sz w:val="24"/>
              </w:rPr>
              <w:t>3</w:t>
            </w:r>
            <w:r>
              <w:rPr>
                <w:rFonts w:hint="eastAsia"/>
                <w:kern w:val="0"/>
                <w:sz w:val="24"/>
              </w:rPr>
              <w:t>月</w:t>
            </w:r>
          </w:p>
        </w:tc>
        <w:tc>
          <w:tcPr>
            <w:tcW w:w="1701" w:type="dxa"/>
            <w:gridSpan w:val="2"/>
            <w:vAlign w:val="center"/>
          </w:tcPr>
          <w:p>
            <w:pPr>
              <w:autoSpaceDE w:val="0"/>
              <w:autoSpaceDN w:val="0"/>
              <w:adjustRightInd w:val="0"/>
              <w:spacing w:line="276" w:lineRule="auto"/>
              <w:jc w:val="center"/>
              <w:rPr>
                <w:kern w:val="0"/>
                <w:sz w:val="24"/>
              </w:rPr>
            </w:pPr>
            <w:r>
              <w:rPr>
                <w:kern w:val="0"/>
                <w:sz w:val="24"/>
              </w:rPr>
              <w:t>开工日期</w:t>
            </w:r>
          </w:p>
        </w:tc>
        <w:tc>
          <w:tcPr>
            <w:tcW w:w="2826" w:type="dxa"/>
            <w:gridSpan w:val="3"/>
            <w:vAlign w:val="center"/>
          </w:tcPr>
          <w:p>
            <w:pPr>
              <w:autoSpaceDE w:val="0"/>
              <w:autoSpaceDN w:val="0"/>
              <w:adjustRightInd w:val="0"/>
              <w:spacing w:line="276" w:lineRule="auto"/>
              <w:jc w:val="center"/>
              <w:rPr>
                <w:kern w:val="0"/>
                <w:sz w:val="24"/>
              </w:rPr>
            </w:pPr>
            <w:r>
              <w:rPr>
                <w:kern w:val="0"/>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42" w:hRule="atLeast"/>
          <w:jc w:val="center"/>
        </w:trPr>
        <w:tc>
          <w:tcPr>
            <w:tcW w:w="1676" w:type="dxa"/>
            <w:vAlign w:val="center"/>
          </w:tcPr>
          <w:p>
            <w:pPr>
              <w:adjustRightInd w:val="0"/>
              <w:snapToGrid w:val="0"/>
              <w:jc w:val="center"/>
              <w:rPr>
                <w:sz w:val="24"/>
              </w:rPr>
            </w:pPr>
            <w:r>
              <w:rPr>
                <w:sz w:val="24"/>
              </w:rPr>
              <w:t>试生产</w:t>
            </w:r>
          </w:p>
          <w:p>
            <w:pPr>
              <w:adjustRightInd w:val="0"/>
              <w:snapToGrid w:val="0"/>
              <w:jc w:val="center"/>
              <w:rPr>
                <w:sz w:val="24"/>
              </w:rPr>
            </w:pPr>
            <w:r>
              <w:rPr>
                <w:sz w:val="24"/>
              </w:rPr>
              <w:t>批准时间</w:t>
            </w:r>
          </w:p>
        </w:tc>
        <w:tc>
          <w:tcPr>
            <w:tcW w:w="3138" w:type="dxa"/>
            <w:gridSpan w:val="2"/>
            <w:vAlign w:val="center"/>
          </w:tcPr>
          <w:p>
            <w:pPr>
              <w:autoSpaceDE w:val="0"/>
              <w:autoSpaceDN w:val="0"/>
              <w:adjustRightInd w:val="0"/>
              <w:jc w:val="center"/>
              <w:rPr>
                <w:kern w:val="0"/>
                <w:sz w:val="24"/>
              </w:rPr>
            </w:pPr>
            <w:r>
              <w:rPr>
                <w:kern w:val="0"/>
                <w:sz w:val="24"/>
              </w:rPr>
              <w:t>--</w:t>
            </w:r>
          </w:p>
        </w:tc>
        <w:tc>
          <w:tcPr>
            <w:tcW w:w="1701" w:type="dxa"/>
            <w:gridSpan w:val="2"/>
            <w:vAlign w:val="center"/>
          </w:tcPr>
          <w:p>
            <w:pPr>
              <w:autoSpaceDE w:val="0"/>
              <w:autoSpaceDN w:val="0"/>
              <w:adjustRightInd w:val="0"/>
              <w:jc w:val="center"/>
              <w:rPr>
                <w:kern w:val="0"/>
                <w:sz w:val="24"/>
              </w:rPr>
            </w:pPr>
            <w:r>
              <w:rPr>
                <w:kern w:val="0"/>
                <w:sz w:val="24"/>
              </w:rPr>
              <w:t>现场监测时间</w:t>
            </w:r>
          </w:p>
        </w:tc>
        <w:tc>
          <w:tcPr>
            <w:tcW w:w="2826" w:type="dxa"/>
            <w:gridSpan w:val="3"/>
            <w:vAlign w:val="center"/>
          </w:tcPr>
          <w:p>
            <w:pPr>
              <w:spacing w:line="400" w:lineRule="exact"/>
              <w:jc w:val="center"/>
              <w:rPr>
                <w:sz w:val="24"/>
              </w:rPr>
            </w:pPr>
            <w:r>
              <w:rPr>
                <w:rFonts w:hint="eastAsia"/>
                <w:sz w:val="24"/>
              </w:rPr>
              <w:t>2017年</w:t>
            </w:r>
            <w:r>
              <w:rPr>
                <w:sz w:val="24"/>
              </w:rPr>
              <w:t>5</w:t>
            </w:r>
            <w:r>
              <w:rPr>
                <w:rFonts w:hint="eastAsia"/>
                <w:sz w:val="24"/>
              </w:rPr>
              <w:t>月</w:t>
            </w:r>
            <w:r>
              <w:rPr>
                <w:sz w:val="24"/>
              </w:rPr>
              <w:t>31</w:t>
            </w:r>
            <w:r>
              <w:rPr>
                <w:rFonts w:hint="eastAsia"/>
                <w:sz w:val="24"/>
              </w:rPr>
              <w:t>、6月1日</w:t>
            </w:r>
            <w:r>
              <w:rPr>
                <w:sz w:val="24"/>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42" w:hRule="atLeast"/>
          <w:jc w:val="center"/>
        </w:trPr>
        <w:tc>
          <w:tcPr>
            <w:tcW w:w="1676" w:type="dxa"/>
            <w:vAlign w:val="center"/>
          </w:tcPr>
          <w:p>
            <w:pPr>
              <w:adjustRightInd w:val="0"/>
              <w:snapToGrid w:val="0"/>
              <w:jc w:val="center"/>
              <w:rPr>
                <w:sz w:val="24"/>
              </w:rPr>
            </w:pPr>
            <w:r>
              <w:rPr>
                <w:rFonts w:hint="eastAsia"/>
                <w:sz w:val="24"/>
              </w:rPr>
              <w:t>建筑面积</w:t>
            </w:r>
          </w:p>
        </w:tc>
        <w:tc>
          <w:tcPr>
            <w:tcW w:w="3138" w:type="dxa"/>
            <w:gridSpan w:val="2"/>
            <w:vAlign w:val="center"/>
          </w:tcPr>
          <w:p>
            <w:pPr>
              <w:autoSpaceDE w:val="0"/>
              <w:autoSpaceDN w:val="0"/>
              <w:adjustRightInd w:val="0"/>
              <w:jc w:val="center"/>
              <w:rPr>
                <w:kern w:val="0"/>
                <w:sz w:val="24"/>
              </w:rPr>
            </w:pPr>
            <w:r>
              <w:rPr>
                <w:kern w:val="0"/>
                <w:sz w:val="24"/>
              </w:rPr>
              <w:t>11500</w:t>
            </w:r>
            <w:r>
              <w:rPr>
                <w:rFonts w:hint="eastAsia"/>
                <w:kern w:val="0"/>
                <w:sz w:val="24"/>
              </w:rPr>
              <w:t>m</w:t>
            </w:r>
            <w:r>
              <w:rPr>
                <w:rFonts w:hint="eastAsia"/>
                <w:kern w:val="0"/>
                <w:sz w:val="24"/>
                <w:vertAlign w:val="superscript"/>
              </w:rPr>
              <w:t>2</w:t>
            </w:r>
          </w:p>
        </w:tc>
        <w:tc>
          <w:tcPr>
            <w:tcW w:w="1701" w:type="dxa"/>
            <w:gridSpan w:val="2"/>
            <w:vAlign w:val="center"/>
          </w:tcPr>
          <w:p>
            <w:pPr>
              <w:autoSpaceDE w:val="0"/>
              <w:autoSpaceDN w:val="0"/>
              <w:adjustRightInd w:val="0"/>
              <w:jc w:val="center"/>
              <w:rPr>
                <w:kern w:val="0"/>
                <w:sz w:val="24"/>
              </w:rPr>
            </w:pPr>
            <w:r>
              <w:rPr>
                <w:rFonts w:hint="eastAsia"/>
                <w:kern w:val="0"/>
                <w:sz w:val="24"/>
              </w:rPr>
              <w:t>绿化面积</w:t>
            </w:r>
          </w:p>
        </w:tc>
        <w:tc>
          <w:tcPr>
            <w:tcW w:w="2826" w:type="dxa"/>
            <w:gridSpan w:val="3"/>
            <w:vAlign w:val="center"/>
          </w:tcPr>
          <w:p>
            <w:pPr>
              <w:spacing w:line="400" w:lineRule="exact"/>
              <w:jc w:val="center"/>
              <w:rPr>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42" w:hRule="atLeast"/>
          <w:jc w:val="center"/>
        </w:trPr>
        <w:tc>
          <w:tcPr>
            <w:tcW w:w="1676" w:type="dxa"/>
            <w:vAlign w:val="center"/>
          </w:tcPr>
          <w:p>
            <w:pPr>
              <w:jc w:val="center"/>
              <w:rPr>
                <w:sz w:val="24"/>
              </w:rPr>
            </w:pPr>
            <w:r>
              <w:rPr>
                <w:sz w:val="24"/>
              </w:rPr>
              <w:t>环评报告表</w:t>
            </w:r>
          </w:p>
          <w:p>
            <w:pPr>
              <w:jc w:val="center"/>
              <w:rPr>
                <w:sz w:val="24"/>
              </w:rPr>
            </w:pPr>
            <w:r>
              <w:rPr>
                <w:sz w:val="24"/>
              </w:rPr>
              <w:t>审批部门</w:t>
            </w:r>
          </w:p>
        </w:tc>
        <w:tc>
          <w:tcPr>
            <w:tcW w:w="3138" w:type="dxa"/>
            <w:gridSpan w:val="2"/>
            <w:vAlign w:val="center"/>
          </w:tcPr>
          <w:p>
            <w:pPr>
              <w:spacing w:line="400" w:lineRule="exact"/>
              <w:jc w:val="center"/>
              <w:rPr>
                <w:sz w:val="24"/>
              </w:rPr>
            </w:pPr>
            <w:r>
              <w:rPr>
                <w:sz w:val="24"/>
              </w:rPr>
              <w:t>深圳市盐田区环境保护与水务局</w:t>
            </w:r>
          </w:p>
        </w:tc>
        <w:tc>
          <w:tcPr>
            <w:tcW w:w="1701" w:type="dxa"/>
            <w:gridSpan w:val="2"/>
            <w:vAlign w:val="center"/>
          </w:tcPr>
          <w:p>
            <w:pPr>
              <w:jc w:val="center"/>
              <w:rPr>
                <w:sz w:val="24"/>
              </w:rPr>
            </w:pPr>
            <w:r>
              <w:rPr>
                <w:sz w:val="24"/>
              </w:rPr>
              <w:t>环评报告表</w:t>
            </w:r>
          </w:p>
          <w:p>
            <w:pPr>
              <w:jc w:val="center"/>
              <w:rPr>
                <w:sz w:val="24"/>
              </w:rPr>
            </w:pPr>
            <w:r>
              <w:rPr>
                <w:sz w:val="24"/>
              </w:rPr>
              <w:t>编制单位</w:t>
            </w:r>
          </w:p>
        </w:tc>
        <w:tc>
          <w:tcPr>
            <w:tcW w:w="2826" w:type="dxa"/>
            <w:gridSpan w:val="3"/>
            <w:vAlign w:val="center"/>
          </w:tcPr>
          <w:p>
            <w:pPr>
              <w:jc w:val="center"/>
              <w:rPr>
                <w:sz w:val="24"/>
              </w:rPr>
            </w:pPr>
            <w:r>
              <w:rPr>
                <w:bCs/>
                <w:sz w:val="24"/>
                <w:szCs w:val="36"/>
              </w:rPr>
              <w:t>重庆市环境保护工程设计研究院有限公司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42" w:hRule="atLeast"/>
          <w:jc w:val="center"/>
        </w:trPr>
        <w:tc>
          <w:tcPr>
            <w:tcW w:w="1676" w:type="dxa"/>
            <w:vAlign w:val="center"/>
          </w:tcPr>
          <w:p>
            <w:pPr>
              <w:jc w:val="center"/>
              <w:rPr>
                <w:sz w:val="24"/>
              </w:rPr>
            </w:pPr>
            <w:r>
              <w:rPr>
                <w:sz w:val="24"/>
              </w:rPr>
              <w:t>环保设施</w:t>
            </w:r>
          </w:p>
          <w:p>
            <w:pPr>
              <w:jc w:val="center"/>
              <w:rPr>
                <w:color w:val="FF0000"/>
                <w:sz w:val="24"/>
              </w:rPr>
            </w:pPr>
            <w:r>
              <w:rPr>
                <w:sz w:val="24"/>
              </w:rPr>
              <w:t>设计单位</w:t>
            </w:r>
          </w:p>
        </w:tc>
        <w:tc>
          <w:tcPr>
            <w:tcW w:w="3138" w:type="dxa"/>
            <w:gridSpan w:val="2"/>
            <w:vAlign w:val="center"/>
          </w:tcPr>
          <w:p>
            <w:pPr>
              <w:jc w:val="center"/>
              <w:rPr>
                <w:sz w:val="24"/>
              </w:rPr>
            </w:pPr>
            <w:r>
              <w:rPr>
                <w:rFonts w:hint="eastAsia"/>
                <w:sz w:val="24"/>
              </w:rPr>
              <w:t>深圳市锦源弘装饰设计工程有限公司</w:t>
            </w:r>
          </w:p>
        </w:tc>
        <w:tc>
          <w:tcPr>
            <w:tcW w:w="1701" w:type="dxa"/>
            <w:gridSpan w:val="2"/>
            <w:vAlign w:val="center"/>
          </w:tcPr>
          <w:p>
            <w:pPr>
              <w:jc w:val="center"/>
              <w:rPr>
                <w:sz w:val="24"/>
              </w:rPr>
            </w:pPr>
            <w:r>
              <w:rPr>
                <w:sz w:val="24"/>
              </w:rPr>
              <w:t>环保设施</w:t>
            </w:r>
          </w:p>
          <w:p>
            <w:pPr>
              <w:jc w:val="center"/>
              <w:rPr>
                <w:sz w:val="24"/>
              </w:rPr>
            </w:pPr>
            <w:r>
              <w:rPr>
                <w:sz w:val="24"/>
              </w:rPr>
              <w:t>施工单位</w:t>
            </w:r>
          </w:p>
        </w:tc>
        <w:tc>
          <w:tcPr>
            <w:tcW w:w="2826" w:type="dxa"/>
            <w:gridSpan w:val="3"/>
            <w:vAlign w:val="center"/>
          </w:tcPr>
          <w:p>
            <w:pPr>
              <w:jc w:val="center"/>
              <w:rPr>
                <w:sz w:val="24"/>
              </w:rPr>
            </w:pPr>
            <w:r>
              <w:rPr>
                <w:rFonts w:hint="eastAsia"/>
                <w:sz w:val="24"/>
              </w:rPr>
              <w:t>深圳市锦源弘装饰设计工程有限公司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0" w:hRule="atLeast"/>
          <w:jc w:val="center"/>
        </w:trPr>
        <w:tc>
          <w:tcPr>
            <w:tcW w:w="1676" w:type="dxa"/>
            <w:vAlign w:val="center"/>
          </w:tcPr>
          <w:p>
            <w:pPr>
              <w:spacing w:line="276" w:lineRule="auto"/>
              <w:jc w:val="center"/>
              <w:rPr>
                <w:sz w:val="24"/>
              </w:rPr>
            </w:pPr>
            <w:r>
              <w:rPr>
                <w:sz w:val="24"/>
              </w:rPr>
              <w:t>投资总概算</w:t>
            </w:r>
          </w:p>
        </w:tc>
        <w:tc>
          <w:tcPr>
            <w:tcW w:w="1862" w:type="dxa"/>
            <w:vAlign w:val="center"/>
          </w:tcPr>
          <w:p>
            <w:pPr>
              <w:spacing w:line="276" w:lineRule="auto"/>
              <w:jc w:val="center"/>
              <w:rPr>
                <w:sz w:val="24"/>
              </w:rPr>
            </w:pPr>
            <w:r>
              <w:rPr>
                <w:sz w:val="24"/>
              </w:rPr>
              <w:t>700万元</w:t>
            </w:r>
          </w:p>
        </w:tc>
        <w:tc>
          <w:tcPr>
            <w:tcW w:w="2366" w:type="dxa"/>
            <w:gridSpan w:val="2"/>
            <w:vAlign w:val="center"/>
          </w:tcPr>
          <w:p>
            <w:pPr>
              <w:spacing w:line="276" w:lineRule="auto"/>
              <w:jc w:val="center"/>
              <w:rPr>
                <w:sz w:val="24"/>
              </w:rPr>
            </w:pPr>
            <w:r>
              <w:rPr>
                <w:sz w:val="24"/>
              </w:rPr>
              <w:t>环保投资总概算</w:t>
            </w:r>
          </w:p>
        </w:tc>
        <w:tc>
          <w:tcPr>
            <w:tcW w:w="1231" w:type="dxa"/>
            <w:gridSpan w:val="2"/>
            <w:vAlign w:val="center"/>
          </w:tcPr>
          <w:p>
            <w:pPr>
              <w:spacing w:line="276" w:lineRule="auto"/>
              <w:jc w:val="center"/>
              <w:rPr>
                <w:sz w:val="24"/>
              </w:rPr>
            </w:pPr>
            <w:r>
              <w:rPr>
                <w:sz w:val="24"/>
              </w:rPr>
              <w:t>10万元</w:t>
            </w:r>
          </w:p>
        </w:tc>
        <w:tc>
          <w:tcPr>
            <w:tcW w:w="1223" w:type="dxa"/>
            <w:vAlign w:val="center"/>
          </w:tcPr>
          <w:p>
            <w:pPr>
              <w:spacing w:line="276" w:lineRule="auto"/>
              <w:jc w:val="center"/>
              <w:rPr>
                <w:sz w:val="24"/>
              </w:rPr>
            </w:pPr>
            <w:r>
              <w:rPr>
                <w:sz w:val="24"/>
              </w:rPr>
              <w:t>比例</w:t>
            </w:r>
          </w:p>
        </w:tc>
        <w:tc>
          <w:tcPr>
            <w:tcW w:w="983" w:type="dxa"/>
            <w:vAlign w:val="center"/>
          </w:tcPr>
          <w:p>
            <w:pPr>
              <w:spacing w:line="276" w:lineRule="auto"/>
              <w:jc w:val="center"/>
              <w:rPr>
                <w:sz w:val="24"/>
              </w:rPr>
            </w:pPr>
            <w:r>
              <w:rPr>
                <w:sz w:val="24"/>
              </w:rPr>
              <w:t>1</w:t>
            </w:r>
            <w:r>
              <w:rPr>
                <w:rFonts w:hint="eastAsia"/>
                <w:sz w:val="24"/>
              </w:rPr>
              <w:t>.</w:t>
            </w:r>
            <w:r>
              <w:rPr>
                <w:sz w:val="24"/>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0" w:hRule="atLeast"/>
          <w:jc w:val="center"/>
        </w:trPr>
        <w:tc>
          <w:tcPr>
            <w:tcW w:w="1676" w:type="dxa"/>
            <w:vAlign w:val="center"/>
          </w:tcPr>
          <w:p>
            <w:pPr>
              <w:spacing w:line="276" w:lineRule="auto"/>
              <w:jc w:val="center"/>
              <w:rPr>
                <w:sz w:val="24"/>
              </w:rPr>
            </w:pPr>
            <w:r>
              <w:rPr>
                <w:sz w:val="24"/>
              </w:rPr>
              <w:t>实际总概算</w:t>
            </w:r>
          </w:p>
        </w:tc>
        <w:tc>
          <w:tcPr>
            <w:tcW w:w="1862" w:type="dxa"/>
            <w:vAlign w:val="center"/>
          </w:tcPr>
          <w:p>
            <w:pPr>
              <w:spacing w:line="276" w:lineRule="auto"/>
              <w:jc w:val="center"/>
              <w:rPr>
                <w:sz w:val="24"/>
              </w:rPr>
            </w:pPr>
            <w:r>
              <w:rPr>
                <w:sz w:val="24"/>
              </w:rPr>
              <w:t>700万元</w:t>
            </w:r>
          </w:p>
        </w:tc>
        <w:tc>
          <w:tcPr>
            <w:tcW w:w="2366" w:type="dxa"/>
            <w:gridSpan w:val="2"/>
            <w:vAlign w:val="center"/>
          </w:tcPr>
          <w:p>
            <w:pPr>
              <w:spacing w:line="276" w:lineRule="auto"/>
              <w:jc w:val="center"/>
              <w:rPr>
                <w:sz w:val="24"/>
              </w:rPr>
            </w:pPr>
            <w:r>
              <w:rPr>
                <w:sz w:val="24"/>
              </w:rPr>
              <w:t>环保投资</w:t>
            </w:r>
          </w:p>
        </w:tc>
        <w:tc>
          <w:tcPr>
            <w:tcW w:w="1231" w:type="dxa"/>
            <w:gridSpan w:val="2"/>
            <w:vAlign w:val="center"/>
          </w:tcPr>
          <w:p>
            <w:pPr>
              <w:spacing w:line="276" w:lineRule="auto"/>
              <w:jc w:val="center"/>
              <w:rPr>
                <w:sz w:val="24"/>
              </w:rPr>
            </w:pPr>
            <w:r>
              <w:rPr>
                <w:sz w:val="24"/>
              </w:rPr>
              <w:t>24万元</w:t>
            </w:r>
          </w:p>
        </w:tc>
        <w:tc>
          <w:tcPr>
            <w:tcW w:w="1223" w:type="dxa"/>
            <w:vAlign w:val="center"/>
          </w:tcPr>
          <w:p>
            <w:pPr>
              <w:spacing w:line="276" w:lineRule="auto"/>
              <w:jc w:val="center"/>
              <w:rPr>
                <w:sz w:val="24"/>
              </w:rPr>
            </w:pPr>
            <w:r>
              <w:rPr>
                <w:sz w:val="24"/>
              </w:rPr>
              <w:t>比例</w:t>
            </w:r>
          </w:p>
        </w:tc>
        <w:tc>
          <w:tcPr>
            <w:tcW w:w="983" w:type="dxa"/>
            <w:vAlign w:val="center"/>
          </w:tcPr>
          <w:p>
            <w:pPr>
              <w:spacing w:line="276" w:lineRule="auto"/>
              <w:jc w:val="center"/>
              <w:rPr>
                <w:sz w:val="24"/>
              </w:rPr>
            </w:pPr>
            <w:r>
              <w:rPr>
                <w:sz w:val="24"/>
              </w:rPr>
              <w:t>3</w:t>
            </w:r>
            <w:r>
              <w:rPr>
                <w:rFonts w:hint="eastAsia"/>
                <w:sz w:val="24"/>
              </w:rPr>
              <w:t>.</w:t>
            </w:r>
            <w:r>
              <w:rPr>
                <w:sz w:val="24"/>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190" w:hRule="atLeast"/>
          <w:jc w:val="center"/>
        </w:trPr>
        <w:tc>
          <w:tcPr>
            <w:tcW w:w="1676" w:type="dxa"/>
            <w:vAlign w:val="center"/>
          </w:tcPr>
          <w:p>
            <w:pPr>
              <w:spacing w:line="400" w:lineRule="exact"/>
              <w:jc w:val="center"/>
              <w:rPr>
                <w:sz w:val="24"/>
              </w:rPr>
            </w:pPr>
            <w:r>
              <w:rPr>
                <w:sz w:val="24"/>
              </w:rPr>
              <w:t>验收监测依据</w:t>
            </w:r>
          </w:p>
        </w:tc>
        <w:tc>
          <w:tcPr>
            <w:tcW w:w="7665" w:type="dxa"/>
            <w:gridSpan w:val="7"/>
            <w:vAlign w:val="center"/>
          </w:tcPr>
          <w:p>
            <w:pPr>
              <w:adjustRightInd w:val="0"/>
              <w:snapToGrid w:val="0"/>
              <w:spacing w:line="240" w:lineRule="auto"/>
              <w:ind w:firstLine="480" w:firstLineChars="200"/>
              <w:rPr>
                <w:sz w:val="24"/>
                <w:szCs w:val="52"/>
              </w:rPr>
            </w:pPr>
            <w:r>
              <w:rPr>
                <w:sz w:val="24"/>
                <w:szCs w:val="52"/>
              </w:rPr>
              <w:t>1、中华人民共和国国务院令，第253号，《建设项目环境保护管理条例》（1998年12月）；</w:t>
            </w:r>
          </w:p>
          <w:p>
            <w:pPr>
              <w:adjustRightInd w:val="0"/>
              <w:snapToGrid w:val="0"/>
              <w:spacing w:line="240" w:lineRule="auto"/>
              <w:ind w:firstLine="480" w:firstLineChars="200"/>
              <w:rPr>
                <w:sz w:val="24"/>
                <w:szCs w:val="52"/>
              </w:rPr>
            </w:pPr>
            <w:r>
              <w:rPr>
                <w:sz w:val="24"/>
                <w:szCs w:val="52"/>
              </w:rPr>
              <w:t>2、原国家环境保护总局令，第13号，《建设项目竣工环境保护验收管理办法》（2001年12月27日）；</w:t>
            </w:r>
          </w:p>
          <w:p>
            <w:pPr>
              <w:adjustRightInd w:val="0"/>
              <w:snapToGrid w:val="0"/>
              <w:spacing w:line="240" w:lineRule="auto"/>
              <w:ind w:firstLine="480" w:firstLineChars="200"/>
              <w:rPr>
                <w:sz w:val="24"/>
                <w:szCs w:val="52"/>
              </w:rPr>
            </w:pPr>
            <w:r>
              <w:rPr>
                <w:sz w:val="24"/>
                <w:szCs w:val="52"/>
              </w:rPr>
              <w:t>3、</w:t>
            </w:r>
            <w:r>
              <w:rPr>
                <w:sz w:val="24"/>
                <w:szCs w:val="20"/>
              </w:rPr>
              <w:t>中华人民共和国主席令，第九号，《中华人民共和国环境保护法》（2015年1月1日）；</w:t>
            </w:r>
          </w:p>
          <w:p>
            <w:pPr>
              <w:adjustRightInd w:val="0"/>
              <w:snapToGrid w:val="0"/>
              <w:spacing w:line="240" w:lineRule="auto"/>
              <w:ind w:firstLine="480" w:firstLineChars="200"/>
              <w:rPr>
                <w:sz w:val="24"/>
                <w:szCs w:val="52"/>
              </w:rPr>
            </w:pPr>
            <w:r>
              <w:rPr>
                <w:sz w:val="24"/>
                <w:szCs w:val="52"/>
              </w:rPr>
              <w:t>4、</w:t>
            </w:r>
            <w:r>
              <w:rPr>
                <w:bCs/>
                <w:sz w:val="24"/>
                <w:szCs w:val="36"/>
              </w:rPr>
              <w:t>重庆市环境保护工程设计研究院有限公司</w:t>
            </w:r>
            <w:r>
              <w:rPr>
                <w:sz w:val="24"/>
                <w:szCs w:val="52"/>
              </w:rPr>
              <w:t>《</w:t>
            </w:r>
            <w:r>
              <w:rPr>
                <w:rFonts w:hint="eastAsia"/>
                <w:sz w:val="24"/>
                <w:szCs w:val="52"/>
              </w:rPr>
              <w:t>样板王制造（深圳）有限公司</w:t>
            </w:r>
            <w:r>
              <w:rPr>
                <w:sz w:val="24"/>
                <w:szCs w:val="52"/>
              </w:rPr>
              <w:t>项目环境影响报告表》（2016年3月）；</w:t>
            </w:r>
          </w:p>
          <w:p>
            <w:pPr>
              <w:adjustRightInd w:val="0"/>
              <w:snapToGrid w:val="0"/>
              <w:spacing w:line="240" w:lineRule="auto"/>
              <w:ind w:firstLine="480" w:firstLineChars="200"/>
              <w:rPr>
                <w:sz w:val="24"/>
                <w:szCs w:val="52"/>
              </w:rPr>
            </w:pPr>
            <w:r>
              <w:rPr>
                <w:sz w:val="24"/>
                <w:szCs w:val="52"/>
              </w:rPr>
              <w:t>5、深圳市盐田区环境保护与水务局《深圳市</w:t>
            </w:r>
            <w:r>
              <w:rPr>
                <w:rFonts w:hint="eastAsia"/>
                <w:sz w:val="24"/>
                <w:szCs w:val="52"/>
              </w:rPr>
              <w:t>盐田区环境保护局</w:t>
            </w:r>
            <w:r>
              <w:rPr>
                <w:sz w:val="24"/>
                <w:szCs w:val="52"/>
              </w:rPr>
              <w:t>建设项目环境影响</w:t>
            </w:r>
            <w:r>
              <w:rPr>
                <w:rFonts w:hint="eastAsia"/>
                <w:sz w:val="24"/>
                <w:szCs w:val="52"/>
              </w:rPr>
              <w:t>审查批复</w:t>
            </w:r>
            <w:r>
              <w:rPr>
                <w:sz w:val="24"/>
                <w:szCs w:val="52"/>
              </w:rPr>
              <w:t>》</w:t>
            </w:r>
            <w:r>
              <w:rPr>
                <w:rFonts w:hint="eastAsia"/>
                <w:sz w:val="24"/>
                <w:szCs w:val="52"/>
              </w:rPr>
              <w:t>深盐环批[20</w:t>
            </w:r>
            <w:r>
              <w:rPr>
                <w:sz w:val="24"/>
                <w:szCs w:val="52"/>
              </w:rPr>
              <w:t>16</w:t>
            </w:r>
            <w:r>
              <w:rPr>
                <w:rFonts w:hint="eastAsia"/>
                <w:sz w:val="24"/>
                <w:szCs w:val="52"/>
              </w:rPr>
              <w:t>]800</w:t>
            </w:r>
            <w:r>
              <w:rPr>
                <w:sz w:val="24"/>
                <w:szCs w:val="52"/>
              </w:rPr>
              <w:t>17号审批意见（2016年6月）</w:t>
            </w:r>
            <w:r>
              <w:rPr>
                <w:rFonts w:hint="eastAsia"/>
                <w:sz w:val="24"/>
                <w:szCs w:val="52"/>
                <w:lang w:eastAsia="zh-CN"/>
              </w:rPr>
              <w:t>；</w:t>
            </w:r>
          </w:p>
          <w:p>
            <w:pPr>
              <w:adjustRightInd w:val="0"/>
              <w:snapToGrid w:val="0"/>
              <w:spacing w:line="240" w:lineRule="auto"/>
              <w:ind w:firstLine="480" w:firstLineChars="200"/>
              <w:rPr>
                <w:rFonts w:hint="eastAsia"/>
                <w:sz w:val="24"/>
                <w:szCs w:val="52"/>
                <w:lang w:eastAsia="zh-CN"/>
              </w:rPr>
            </w:pPr>
            <w:r>
              <w:rPr>
                <w:rFonts w:hint="eastAsia"/>
                <w:sz w:val="24"/>
                <w:szCs w:val="52"/>
                <w:lang w:val="en-US" w:eastAsia="zh-CN"/>
              </w:rPr>
              <w:t>6、</w:t>
            </w:r>
            <w:r>
              <w:rPr>
                <w:sz w:val="24"/>
                <w:szCs w:val="52"/>
              </w:rPr>
              <w:t>《</w:t>
            </w:r>
            <w:r>
              <w:rPr>
                <w:rFonts w:hint="eastAsia"/>
                <w:sz w:val="24"/>
                <w:szCs w:val="52"/>
                <w:lang w:val="en-US" w:eastAsia="zh-CN"/>
              </w:rPr>
              <w:t>深圳经济特区建设项目环境保护条例</w:t>
            </w:r>
            <w:r>
              <w:rPr>
                <w:sz w:val="24"/>
                <w:szCs w:val="52"/>
              </w:rPr>
              <w:t>》</w:t>
            </w:r>
            <w:r>
              <w:rPr>
                <w:rFonts w:hint="eastAsia"/>
                <w:sz w:val="24"/>
                <w:szCs w:val="52"/>
                <w:lang w:eastAsia="zh-CN"/>
              </w:rPr>
              <w:t>（</w:t>
            </w:r>
            <w:r>
              <w:rPr>
                <w:rFonts w:hint="eastAsia"/>
                <w:sz w:val="24"/>
                <w:szCs w:val="52"/>
                <w:lang w:val="en-US" w:eastAsia="zh-CN"/>
              </w:rPr>
              <w:t>2017年修订</w:t>
            </w:r>
            <w:r>
              <w:rPr>
                <w:rFonts w:hint="eastAsia"/>
                <w:sz w:val="24"/>
                <w:szCs w:val="52"/>
                <w:lang w:eastAsia="zh-CN"/>
              </w:rPr>
              <w:t>）（</w:t>
            </w:r>
            <w:r>
              <w:rPr>
                <w:rFonts w:hint="eastAsia"/>
                <w:sz w:val="24"/>
                <w:szCs w:val="52"/>
                <w:lang w:val="en-US" w:eastAsia="zh-CN"/>
              </w:rPr>
              <w:t>2017年5月16日</w:t>
            </w:r>
            <w:r>
              <w:rPr>
                <w:rFonts w:hint="eastAsia"/>
                <w:sz w:val="24"/>
                <w:szCs w:val="52"/>
                <w:lang w:eastAsia="zh-CN"/>
              </w:rPr>
              <w:t>）；</w:t>
            </w:r>
          </w:p>
          <w:p>
            <w:pPr>
              <w:adjustRightInd w:val="0"/>
              <w:snapToGrid w:val="0"/>
              <w:spacing w:line="240" w:lineRule="auto"/>
              <w:ind w:firstLine="480" w:firstLineChars="200"/>
              <w:rPr>
                <w:sz w:val="24"/>
                <w:szCs w:val="52"/>
              </w:rPr>
            </w:pPr>
            <w:r>
              <w:rPr>
                <w:rFonts w:hint="eastAsia"/>
                <w:sz w:val="24"/>
                <w:szCs w:val="52"/>
                <w:lang w:val="en-US" w:eastAsia="zh-CN"/>
              </w:rPr>
              <w:t>7、《市人居环境委关于明确过渡期内建设项目环境保护设施竣工验收相关事宜的通知》（深人环[2017]454号）（2017年8月3日）。</w:t>
            </w:r>
          </w:p>
        </w:tc>
      </w:tr>
    </w:tbl>
    <w:p>
      <w:pPr>
        <w:rPr>
          <w:b/>
          <w:sz w:val="28"/>
        </w:rPr>
      </w:pPr>
    </w:p>
    <w:p>
      <w:pPr>
        <w:rPr>
          <w:b/>
          <w:sz w:val="28"/>
        </w:rPr>
      </w:pPr>
      <w:r>
        <w:rPr>
          <w:b/>
          <w:sz w:val="28"/>
        </w:rPr>
        <w:t>续表一</w:t>
      </w:r>
    </w:p>
    <w:tbl>
      <w:tblPr>
        <w:tblStyle w:val="20"/>
        <w:tblW w:w="92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79"/>
        <w:gridCol w:w="73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15" w:hRule="atLeast"/>
          <w:jc w:val="center"/>
        </w:trPr>
        <w:tc>
          <w:tcPr>
            <w:tcW w:w="1979" w:type="dxa"/>
            <w:tcBorders>
              <w:top w:val="single" w:color="auto" w:sz="8" w:space="0"/>
              <w:left w:val="single" w:color="auto" w:sz="8" w:space="0"/>
              <w:bottom w:val="single" w:color="auto" w:sz="4" w:space="0"/>
              <w:right w:val="single" w:color="auto" w:sz="8" w:space="0"/>
            </w:tcBorders>
            <w:vAlign w:val="center"/>
          </w:tcPr>
          <w:p>
            <w:pPr>
              <w:adjustRightInd w:val="0"/>
              <w:snapToGrid w:val="0"/>
              <w:spacing w:line="360" w:lineRule="auto"/>
              <w:ind w:left="360" w:hanging="360" w:hangingChars="150"/>
              <w:jc w:val="center"/>
              <w:rPr>
                <w:bCs/>
                <w:sz w:val="24"/>
              </w:rPr>
            </w:pPr>
            <w:r>
              <w:rPr>
                <w:bCs/>
                <w:sz w:val="24"/>
              </w:rPr>
              <w:t>验收监测标准</w:t>
            </w:r>
          </w:p>
          <w:p>
            <w:pPr>
              <w:adjustRightInd w:val="0"/>
              <w:snapToGrid w:val="0"/>
              <w:spacing w:line="360" w:lineRule="auto"/>
              <w:ind w:left="360" w:hanging="360" w:hangingChars="150"/>
              <w:jc w:val="center"/>
              <w:rPr>
                <w:b/>
                <w:sz w:val="24"/>
              </w:rPr>
            </w:pPr>
            <w:r>
              <w:rPr>
                <w:bCs/>
                <w:sz w:val="24"/>
              </w:rPr>
              <w:t>标号、级别</w:t>
            </w:r>
          </w:p>
        </w:tc>
        <w:tc>
          <w:tcPr>
            <w:tcW w:w="7307" w:type="dxa"/>
            <w:tcBorders>
              <w:top w:val="single" w:color="auto" w:sz="8" w:space="0"/>
              <w:left w:val="single" w:color="auto" w:sz="8" w:space="0"/>
              <w:bottom w:val="single" w:color="auto" w:sz="4" w:space="0"/>
              <w:right w:val="single" w:color="auto" w:sz="8" w:space="0"/>
            </w:tcBorders>
          </w:tcPr>
          <w:p>
            <w:pPr>
              <w:pStyle w:val="43"/>
              <w:numPr>
                <w:ilvl w:val="0"/>
                <w:numId w:val="1"/>
              </w:numPr>
              <w:adjustRightInd w:val="0"/>
              <w:snapToGrid w:val="0"/>
              <w:spacing w:line="440" w:lineRule="exact"/>
              <w:ind w:left="159" w:firstLine="0" w:firstLineChars="0"/>
              <w:rPr>
                <w:sz w:val="24"/>
                <w:szCs w:val="52"/>
              </w:rPr>
            </w:pPr>
            <w:r>
              <w:rPr>
                <w:sz w:val="24"/>
                <w:szCs w:val="52"/>
              </w:rPr>
              <w:t>水污染物排放总量监测技术规范（HJ/T 92-2002）</w:t>
            </w:r>
          </w:p>
          <w:p>
            <w:pPr>
              <w:pStyle w:val="43"/>
              <w:numPr>
                <w:ilvl w:val="0"/>
                <w:numId w:val="1"/>
              </w:numPr>
              <w:adjustRightInd w:val="0"/>
              <w:snapToGrid w:val="0"/>
              <w:spacing w:line="440" w:lineRule="exact"/>
              <w:ind w:left="159" w:firstLine="0" w:firstLineChars="0"/>
              <w:rPr>
                <w:sz w:val="24"/>
                <w:szCs w:val="52"/>
              </w:rPr>
            </w:pPr>
            <w:r>
              <w:rPr>
                <w:sz w:val="24"/>
                <w:szCs w:val="52"/>
              </w:rPr>
              <w:t>地表水和污水监测技术规范（HJ/T 91-2002）</w:t>
            </w:r>
          </w:p>
          <w:p>
            <w:pPr>
              <w:pStyle w:val="43"/>
              <w:numPr>
                <w:ilvl w:val="0"/>
                <w:numId w:val="1"/>
              </w:numPr>
              <w:adjustRightInd w:val="0"/>
              <w:snapToGrid w:val="0"/>
              <w:spacing w:line="440" w:lineRule="exact"/>
              <w:ind w:left="159" w:firstLine="0" w:firstLineChars="0"/>
              <w:rPr>
                <w:sz w:val="24"/>
                <w:szCs w:val="52"/>
              </w:rPr>
            </w:pPr>
            <w:r>
              <w:rPr>
                <w:sz w:val="24"/>
                <w:szCs w:val="52"/>
              </w:rPr>
              <w:t>水质样品的保存和管理技术规定（HJ 493-2009）</w:t>
            </w:r>
          </w:p>
          <w:p>
            <w:pPr>
              <w:pStyle w:val="43"/>
              <w:numPr>
                <w:ilvl w:val="0"/>
                <w:numId w:val="1"/>
              </w:numPr>
              <w:adjustRightInd w:val="0"/>
              <w:snapToGrid w:val="0"/>
              <w:spacing w:line="440" w:lineRule="exact"/>
              <w:ind w:left="159" w:firstLine="0" w:firstLineChars="0"/>
              <w:rPr>
                <w:sz w:val="24"/>
                <w:szCs w:val="52"/>
              </w:rPr>
            </w:pPr>
            <w:r>
              <w:rPr>
                <w:sz w:val="24"/>
                <w:szCs w:val="52"/>
              </w:rPr>
              <w:t>固定污染源排气中颗粒物测定与气态污染物采样方法（GB16157-1996）</w:t>
            </w:r>
          </w:p>
          <w:p>
            <w:pPr>
              <w:pStyle w:val="43"/>
              <w:numPr>
                <w:ilvl w:val="0"/>
                <w:numId w:val="1"/>
              </w:numPr>
              <w:adjustRightInd w:val="0"/>
              <w:snapToGrid w:val="0"/>
              <w:spacing w:line="440" w:lineRule="exact"/>
              <w:ind w:left="159" w:firstLine="0" w:firstLineChars="0"/>
              <w:rPr>
                <w:sz w:val="24"/>
                <w:szCs w:val="52"/>
              </w:rPr>
            </w:pPr>
            <w:r>
              <w:rPr>
                <w:sz w:val="24"/>
                <w:szCs w:val="52"/>
              </w:rPr>
              <w:t>工业企业厂界环境噪声排放标准（GB 12348-2008）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163" w:hRule="atLeast"/>
          <w:jc w:val="center"/>
        </w:trPr>
        <w:tc>
          <w:tcPr>
            <w:tcW w:w="1979" w:type="dxa"/>
            <w:tcBorders>
              <w:top w:val="single" w:color="auto" w:sz="4" w:space="0"/>
              <w:left w:val="single" w:color="auto" w:sz="8" w:space="0"/>
              <w:bottom w:val="single" w:color="auto" w:sz="8" w:space="0"/>
              <w:right w:val="single" w:color="auto" w:sz="8" w:space="0"/>
            </w:tcBorders>
            <w:vAlign w:val="center"/>
          </w:tcPr>
          <w:p>
            <w:pPr>
              <w:adjustRightInd w:val="0"/>
              <w:snapToGrid w:val="0"/>
              <w:spacing w:line="360" w:lineRule="auto"/>
              <w:ind w:left="360" w:hanging="360" w:hangingChars="150"/>
              <w:jc w:val="center"/>
              <w:rPr>
                <w:bCs/>
                <w:sz w:val="24"/>
              </w:rPr>
            </w:pPr>
            <w:r>
              <w:rPr>
                <w:bCs/>
                <w:sz w:val="24"/>
              </w:rPr>
              <w:t>验收制定标准</w:t>
            </w:r>
          </w:p>
          <w:p>
            <w:pPr>
              <w:adjustRightInd w:val="0"/>
              <w:snapToGrid w:val="0"/>
              <w:spacing w:line="360" w:lineRule="auto"/>
              <w:ind w:left="360" w:hanging="360" w:hangingChars="150"/>
              <w:jc w:val="center"/>
              <w:rPr>
                <w:bCs/>
                <w:sz w:val="24"/>
              </w:rPr>
            </w:pPr>
            <w:r>
              <w:rPr>
                <w:bCs/>
                <w:sz w:val="24"/>
              </w:rPr>
              <w:t>标号、级别</w:t>
            </w:r>
          </w:p>
        </w:tc>
        <w:tc>
          <w:tcPr>
            <w:tcW w:w="7307" w:type="dxa"/>
            <w:tcBorders>
              <w:top w:val="single" w:color="auto" w:sz="4" w:space="0"/>
              <w:left w:val="single" w:color="auto" w:sz="8" w:space="0"/>
              <w:bottom w:val="single" w:color="auto" w:sz="8" w:space="0"/>
              <w:right w:val="single" w:color="auto" w:sz="8" w:space="0"/>
            </w:tcBorders>
          </w:tcPr>
          <w:p>
            <w:pPr>
              <w:adjustRightInd w:val="0"/>
              <w:snapToGrid w:val="0"/>
              <w:spacing w:line="360" w:lineRule="auto"/>
              <w:ind w:firstLine="360" w:firstLineChars="150"/>
              <w:rPr>
                <w:sz w:val="24"/>
              </w:rPr>
            </w:pPr>
            <w:r>
              <w:rPr>
                <w:sz w:val="24"/>
                <w:szCs w:val="52"/>
              </w:rPr>
              <w:t>1、水污染物</w:t>
            </w:r>
            <w:r>
              <w:rPr>
                <w:sz w:val="24"/>
              </w:rPr>
              <w:t>：项目产生的废水主要为生活污水。</w:t>
            </w:r>
          </w:p>
          <w:p>
            <w:pPr>
              <w:adjustRightInd w:val="0"/>
              <w:snapToGrid w:val="0"/>
              <w:spacing w:line="360" w:lineRule="auto"/>
              <w:ind w:firstLine="360" w:firstLineChars="150"/>
              <w:rPr>
                <w:sz w:val="24"/>
              </w:rPr>
            </w:pPr>
            <w:r>
              <w:rPr>
                <w:sz w:val="24"/>
              </w:rPr>
              <w:t>生活污水经过化粪池预处理后，再经污水管网送入盐田污水处理厂处理</w:t>
            </w:r>
            <w:r>
              <w:rPr>
                <w:rFonts w:hint="eastAsia"/>
                <w:sz w:val="24"/>
              </w:rPr>
              <w:t>，达到</w:t>
            </w:r>
            <w:r>
              <w:rPr>
                <w:sz w:val="24"/>
              </w:rPr>
              <w:t>广东省地方标准《水污染物排放限值》（DB44/26-2001</w:t>
            </w:r>
            <w:r>
              <w:rPr>
                <w:rFonts w:hint="eastAsia"/>
                <w:sz w:val="24"/>
              </w:rPr>
              <w:t>）的第二时段三级标准后接入市政污水管网</w:t>
            </w:r>
            <w:r>
              <w:rPr>
                <w:sz w:val="24"/>
              </w:rPr>
              <w:t>。</w:t>
            </w:r>
          </w:p>
          <w:p>
            <w:pPr>
              <w:autoSpaceDE w:val="0"/>
              <w:autoSpaceDN w:val="0"/>
              <w:adjustRightInd w:val="0"/>
              <w:snapToGrid w:val="0"/>
              <w:spacing w:line="360" w:lineRule="auto"/>
              <w:jc w:val="right"/>
              <w:rPr>
                <w:kern w:val="0"/>
                <w:sz w:val="22"/>
                <w:szCs w:val="22"/>
              </w:rPr>
            </w:pPr>
            <w:r>
              <w:rPr>
                <w:kern w:val="0"/>
                <w:sz w:val="22"/>
                <w:szCs w:val="22"/>
              </w:rPr>
              <w:t>单位：mg/L（pH值除外）</w:t>
            </w:r>
          </w:p>
          <w:tbl>
            <w:tblPr>
              <w:tblStyle w:val="20"/>
              <w:tblW w:w="5618"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76"/>
              <w:gridCol w:w="1060"/>
              <w:gridCol w:w="708"/>
              <w:gridCol w:w="1190"/>
              <w:gridCol w:w="775"/>
              <w:gridCol w:w="80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03" w:hRule="atLeast"/>
                <w:tblHeader/>
                <w:jc w:val="center"/>
              </w:trPr>
              <w:tc>
                <w:tcPr>
                  <w:tcW w:w="1076" w:type="dxa"/>
                  <w:tcMar>
                    <w:left w:w="0" w:type="dxa"/>
                    <w:right w:w="0" w:type="dxa"/>
                  </w:tcMar>
                  <w:vAlign w:val="center"/>
                </w:tcPr>
                <w:p>
                  <w:pPr>
                    <w:adjustRightInd w:val="0"/>
                    <w:spacing w:line="276" w:lineRule="auto"/>
                    <w:jc w:val="center"/>
                    <w:rPr>
                      <w:szCs w:val="21"/>
                    </w:rPr>
                  </w:pPr>
                  <w:r>
                    <w:rPr>
                      <w:szCs w:val="21"/>
                    </w:rPr>
                    <w:t>污染因子</w:t>
                  </w:r>
                </w:p>
              </w:tc>
              <w:tc>
                <w:tcPr>
                  <w:tcW w:w="1060" w:type="dxa"/>
                  <w:vAlign w:val="center"/>
                </w:tcPr>
                <w:p>
                  <w:pPr>
                    <w:spacing w:line="276" w:lineRule="auto"/>
                    <w:jc w:val="center"/>
                    <w:rPr>
                      <w:szCs w:val="21"/>
                    </w:rPr>
                  </w:pPr>
                  <w:r>
                    <w:rPr>
                      <w:szCs w:val="21"/>
                    </w:rPr>
                    <w:t>pH值</w:t>
                  </w:r>
                </w:p>
              </w:tc>
              <w:tc>
                <w:tcPr>
                  <w:tcW w:w="708" w:type="dxa"/>
                  <w:vAlign w:val="center"/>
                </w:tcPr>
                <w:p>
                  <w:pPr>
                    <w:spacing w:line="276" w:lineRule="auto"/>
                    <w:jc w:val="center"/>
                    <w:rPr>
                      <w:szCs w:val="21"/>
                    </w:rPr>
                  </w:pPr>
                  <w:r>
                    <w:rPr>
                      <w:szCs w:val="21"/>
                    </w:rPr>
                    <w:t>悬浮物</w:t>
                  </w:r>
                </w:p>
              </w:tc>
              <w:tc>
                <w:tcPr>
                  <w:tcW w:w="1190" w:type="dxa"/>
                  <w:vAlign w:val="center"/>
                </w:tcPr>
                <w:p>
                  <w:pPr>
                    <w:jc w:val="center"/>
                    <w:rPr>
                      <w:szCs w:val="21"/>
                    </w:rPr>
                  </w:pPr>
                  <w:r>
                    <w:rPr>
                      <w:szCs w:val="21"/>
                    </w:rPr>
                    <w:t>化学需氧量</w:t>
                  </w:r>
                </w:p>
              </w:tc>
              <w:tc>
                <w:tcPr>
                  <w:tcW w:w="775" w:type="dxa"/>
                  <w:vAlign w:val="center"/>
                </w:tcPr>
                <w:p>
                  <w:pPr>
                    <w:jc w:val="center"/>
                    <w:rPr>
                      <w:szCs w:val="21"/>
                    </w:rPr>
                  </w:pPr>
                  <w:r>
                    <w:rPr>
                      <w:szCs w:val="21"/>
                    </w:rPr>
                    <w:t>氨氮</w:t>
                  </w:r>
                </w:p>
              </w:tc>
              <w:tc>
                <w:tcPr>
                  <w:tcW w:w="809" w:type="dxa"/>
                  <w:vAlign w:val="center"/>
                </w:tcPr>
                <w:p>
                  <w:pPr>
                    <w:jc w:val="center"/>
                    <w:rPr>
                      <w:szCs w:val="21"/>
                    </w:rPr>
                  </w:pPr>
                  <w:r>
                    <w:rPr>
                      <w:rFonts w:hint="eastAsia"/>
                      <w:szCs w:val="21"/>
                    </w:rPr>
                    <w:t>LAS</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03" w:hRule="atLeast"/>
                <w:tblHeader/>
                <w:jc w:val="center"/>
              </w:trPr>
              <w:tc>
                <w:tcPr>
                  <w:tcW w:w="1076" w:type="dxa"/>
                  <w:tcMar>
                    <w:left w:w="0" w:type="dxa"/>
                    <w:right w:w="0" w:type="dxa"/>
                  </w:tcMar>
                  <w:vAlign w:val="center"/>
                </w:tcPr>
                <w:p>
                  <w:pPr>
                    <w:jc w:val="center"/>
                    <w:rPr>
                      <w:szCs w:val="21"/>
                    </w:rPr>
                  </w:pPr>
                  <w:r>
                    <w:rPr>
                      <w:szCs w:val="21"/>
                    </w:rPr>
                    <w:t>废水</w:t>
                  </w:r>
                </w:p>
              </w:tc>
              <w:tc>
                <w:tcPr>
                  <w:tcW w:w="1060" w:type="dxa"/>
                  <w:vAlign w:val="center"/>
                </w:tcPr>
                <w:p>
                  <w:pPr>
                    <w:spacing w:line="276" w:lineRule="auto"/>
                    <w:jc w:val="center"/>
                    <w:rPr>
                      <w:szCs w:val="21"/>
                    </w:rPr>
                  </w:pPr>
                  <w:r>
                    <w:rPr>
                      <w:rFonts w:hint="eastAsia"/>
                      <w:szCs w:val="21"/>
                    </w:rPr>
                    <w:t>6~</w:t>
                  </w:r>
                  <w:r>
                    <w:rPr>
                      <w:szCs w:val="21"/>
                    </w:rPr>
                    <w:t>9</w:t>
                  </w:r>
                  <w:r>
                    <w:rPr>
                      <w:rFonts w:hint="eastAsia"/>
                      <w:szCs w:val="21"/>
                    </w:rPr>
                    <w:t xml:space="preserve">                                                                                       </w:t>
                  </w:r>
                </w:p>
              </w:tc>
              <w:tc>
                <w:tcPr>
                  <w:tcW w:w="708" w:type="dxa"/>
                  <w:vAlign w:val="center"/>
                </w:tcPr>
                <w:p>
                  <w:pPr>
                    <w:spacing w:line="276" w:lineRule="auto"/>
                    <w:jc w:val="center"/>
                    <w:rPr>
                      <w:szCs w:val="21"/>
                    </w:rPr>
                  </w:pPr>
                  <w:r>
                    <w:rPr>
                      <w:rFonts w:hint="eastAsia"/>
                      <w:szCs w:val="21"/>
                    </w:rPr>
                    <w:t>400</w:t>
                  </w:r>
                </w:p>
              </w:tc>
              <w:tc>
                <w:tcPr>
                  <w:tcW w:w="1190" w:type="dxa"/>
                  <w:vAlign w:val="center"/>
                </w:tcPr>
                <w:p>
                  <w:pPr>
                    <w:spacing w:line="276" w:lineRule="auto"/>
                    <w:jc w:val="center"/>
                    <w:rPr>
                      <w:szCs w:val="21"/>
                    </w:rPr>
                  </w:pPr>
                  <w:r>
                    <w:rPr>
                      <w:rFonts w:hint="eastAsia"/>
                      <w:szCs w:val="21"/>
                    </w:rPr>
                    <w:t>500</w:t>
                  </w:r>
                </w:p>
              </w:tc>
              <w:tc>
                <w:tcPr>
                  <w:tcW w:w="775" w:type="dxa"/>
                  <w:vAlign w:val="center"/>
                </w:tcPr>
                <w:p>
                  <w:pPr>
                    <w:spacing w:line="276" w:lineRule="auto"/>
                    <w:jc w:val="center"/>
                    <w:rPr>
                      <w:szCs w:val="21"/>
                    </w:rPr>
                  </w:pPr>
                  <w:r>
                    <w:rPr>
                      <w:rFonts w:hint="eastAsia"/>
                      <w:szCs w:val="21"/>
                    </w:rPr>
                    <w:t>--</w:t>
                  </w:r>
                </w:p>
              </w:tc>
              <w:tc>
                <w:tcPr>
                  <w:tcW w:w="809" w:type="dxa"/>
                  <w:vAlign w:val="center"/>
                </w:tcPr>
                <w:p>
                  <w:pPr>
                    <w:jc w:val="center"/>
                    <w:rPr>
                      <w:szCs w:val="21"/>
                    </w:rPr>
                  </w:pPr>
                  <w:r>
                    <w:rPr>
                      <w:rFonts w:hint="eastAsia"/>
                      <w:szCs w:val="21"/>
                    </w:rPr>
                    <w:t>20</w:t>
                  </w:r>
                </w:p>
              </w:tc>
            </w:tr>
          </w:tbl>
          <w:p>
            <w:pPr>
              <w:autoSpaceDE w:val="0"/>
              <w:autoSpaceDN w:val="0"/>
              <w:adjustRightInd w:val="0"/>
              <w:spacing w:line="360" w:lineRule="auto"/>
              <w:rPr>
                <w:sz w:val="24"/>
              </w:rPr>
            </w:pPr>
            <w:r>
              <w:rPr>
                <w:rFonts w:hint="eastAsia"/>
                <w:kern w:val="0"/>
                <w:sz w:val="24"/>
                <w:szCs w:val="22"/>
              </w:rPr>
              <w:t>备注：“--</w:t>
            </w:r>
            <w:r>
              <w:rPr>
                <w:rFonts w:hint="eastAsia"/>
                <w:szCs w:val="21"/>
              </w:rPr>
              <w:t>”表示</w:t>
            </w:r>
            <w:r>
              <w:rPr>
                <w:sz w:val="24"/>
              </w:rPr>
              <w:t>《水污染物排放限值》（DB44/26-2001</w:t>
            </w:r>
            <w:r>
              <w:rPr>
                <w:rFonts w:hint="eastAsia"/>
                <w:sz w:val="24"/>
              </w:rPr>
              <w:t>）的第二时段三级未对该项目做要求。</w:t>
            </w:r>
          </w:p>
          <w:p>
            <w:pPr>
              <w:adjustRightInd w:val="0"/>
              <w:spacing w:line="360" w:lineRule="auto"/>
              <w:ind w:firstLine="360" w:firstLineChars="150"/>
              <w:rPr>
                <w:sz w:val="24"/>
              </w:rPr>
            </w:pPr>
            <w:r>
              <w:rPr>
                <w:sz w:val="24"/>
              </w:rPr>
              <w:t>2、大气污染物：</w:t>
            </w:r>
            <w:r>
              <w:rPr>
                <w:rFonts w:hint="eastAsia"/>
                <w:sz w:val="24"/>
              </w:rPr>
              <w:t>项目废气主</w:t>
            </w:r>
            <w:r>
              <w:rPr>
                <w:rFonts w:hint="eastAsia" w:hAnsi="宋体"/>
                <w:bCs/>
                <w:color w:val="000000"/>
                <w:sz w:val="24"/>
              </w:rPr>
              <w:t>主要来自粘合和胶装</w:t>
            </w:r>
            <w:r>
              <w:rPr>
                <w:rFonts w:hint="eastAsia"/>
                <w:kern w:val="0"/>
                <w:sz w:val="24"/>
              </w:rPr>
              <w:t>废气</w:t>
            </w:r>
            <w:r>
              <w:rPr>
                <w:rFonts w:hint="eastAsia"/>
                <w:kern w:val="0"/>
                <w:sz w:val="24"/>
                <w:lang w:val="en-IE"/>
              </w:rPr>
              <w:t>，</w:t>
            </w:r>
            <w:r>
              <w:rPr>
                <w:rFonts w:hint="eastAsia"/>
                <w:kern w:val="0"/>
                <w:sz w:val="24"/>
              </w:rPr>
              <w:t>废气成份主要是非甲烷总烃</w:t>
            </w:r>
            <w:r>
              <w:rPr>
                <w:rFonts w:hint="eastAsia"/>
                <w:sz w:val="24"/>
              </w:rPr>
              <w:t>。废气经净化装置处理后可满足广东省</w:t>
            </w:r>
            <w:r>
              <w:rPr>
                <w:bCs/>
                <w:kern w:val="0"/>
                <w:sz w:val="24"/>
                <w:szCs w:val="22"/>
              </w:rPr>
              <w:t>地方标准《大气污染物排放限值》（DB44/27-2001）第二时段二级排放限值。</w:t>
            </w:r>
            <w:r>
              <w:rPr>
                <w:kern w:val="0"/>
                <w:sz w:val="24"/>
                <w:szCs w:val="22"/>
              </w:rPr>
              <w:t>标准值如下表：</w:t>
            </w:r>
          </w:p>
          <w:tbl>
            <w:tblPr>
              <w:tblStyle w:val="20"/>
              <w:tblW w:w="7088"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246"/>
              <w:gridCol w:w="484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blHeader/>
                <w:jc w:val="center"/>
              </w:trPr>
              <w:tc>
                <w:tcPr>
                  <w:tcW w:w="2246" w:type="dxa"/>
                  <w:tcMar>
                    <w:left w:w="0" w:type="dxa"/>
                    <w:right w:w="0" w:type="dxa"/>
                  </w:tcMar>
                  <w:vAlign w:val="center"/>
                </w:tcPr>
                <w:p>
                  <w:pPr>
                    <w:autoSpaceDE w:val="0"/>
                    <w:autoSpaceDN w:val="0"/>
                    <w:adjustRightInd w:val="0"/>
                    <w:jc w:val="center"/>
                    <w:rPr>
                      <w:kern w:val="0"/>
                      <w:sz w:val="22"/>
                      <w:szCs w:val="21"/>
                    </w:rPr>
                  </w:pPr>
                  <w:r>
                    <w:rPr>
                      <w:kern w:val="0"/>
                      <w:sz w:val="22"/>
                      <w:szCs w:val="21"/>
                    </w:rPr>
                    <w:t>污染物名称</w:t>
                  </w:r>
                </w:p>
              </w:tc>
              <w:tc>
                <w:tcPr>
                  <w:tcW w:w="4842" w:type="dxa"/>
                  <w:vAlign w:val="center"/>
                </w:tcPr>
                <w:p>
                  <w:pPr>
                    <w:autoSpaceDE w:val="0"/>
                    <w:autoSpaceDN w:val="0"/>
                    <w:adjustRightInd w:val="0"/>
                    <w:jc w:val="center"/>
                    <w:rPr>
                      <w:kern w:val="0"/>
                      <w:sz w:val="22"/>
                      <w:szCs w:val="21"/>
                    </w:rPr>
                  </w:pPr>
                  <w:r>
                    <w:rPr>
                      <w:bCs/>
                      <w:kern w:val="0"/>
                      <w:sz w:val="22"/>
                      <w:szCs w:val="21"/>
                    </w:rPr>
                    <w:t>DB44/27-2001</w:t>
                  </w:r>
                  <w:r>
                    <w:rPr>
                      <w:kern w:val="0"/>
                      <w:sz w:val="22"/>
                      <w:szCs w:val="21"/>
                    </w:rPr>
                    <w:t>第二时段二级排放限值（mg/m</w:t>
                  </w:r>
                  <w:r>
                    <w:rPr>
                      <w:kern w:val="0"/>
                      <w:sz w:val="22"/>
                      <w:szCs w:val="21"/>
                      <w:vertAlign w:val="superscript"/>
                    </w:rPr>
                    <w:t>3</w:t>
                  </w:r>
                  <w:r>
                    <w:rPr>
                      <w:kern w:val="0"/>
                      <w:sz w:val="22"/>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blHeader/>
                <w:jc w:val="center"/>
              </w:trPr>
              <w:tc>
                <w:tcPr>
                  <w:tcW w:w="2246" w:type="dxa"/>
                  <w:tcMar>
                    <w:left w:w="0" w:type="dxa"/>
                    <w:right w:w="0" w:type="dxa"/>
                  </w:tcMar>
                </w:tcPr>
                <w:p>
                  <w:pPr>
                    <w:autoSpaceDE w:val="0"/>
                    <w:autoSpaceDN w:val="0"/>
                    <w:jc w:val="center"/>
                    <w:rPr>
                      <w:kern w:val="0"/>
                      <w:sz w:val="22"/>
                      <w:szCs w:val="21"/>
                    </w:rPr>
                  </w:pPr>
                  <w:r>
                    <w:rPr>
                      <w:rFonts w:hint="eastAsia"/>
                      <w:kern w:val="0"/>
                      <w:sz w:val="22"/>
                      <w:szCs w:val="21"/>
                    </w:rPr>
                    <w:t>非甲烷总烃</w:t>
                  </w:r>
                </w:p>
              </w:tc>
              <w:tc>
                <w:tcPr>
                  <w:tcW w:w="4842" w:type="dxa"/>
                </w:tcPr>
                <w:p>
                  <w:pPr>
                    <w:autoSpaceDE w:val="0"/>
                    <w:autoSpaceDN w:val="0"/>
                    <w:jc w:val="center"/>
                    <w:rPr>
                      <w:kern w:val="0"/>
                      <w:sz w:val="22"/>
                      <w:szCs w:val="21"/>
                    </w:rPr>
                  </w:pPr>
                  <w:r>
                    <w:rPr>
                      <w:kern w:val="0"/>
                      <w:sz w:val="22"/>
                      <w:szCs w:val="21"/>
                    </w:rPr>
                    <w:t>120</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outlineLvl w:val="9"/>
              <w:rPr>
                <w:szCs w:val="21"/>
              </w:rPr>
            </w:pPr>
            <w:r>
              <w:rPr>
                <w:kern w:val="0"/>
                <w:sz w:val="24"/>
                <w:szCs w:val="22"/>
              </w:rPr>
              <w:t>3、噪声：本项目噪声主要为设备运行噪声。噪声排放执行《工业企业厂界环境噪声排放标准》（GB 12348-2008）</w:t>
            </w:r>
            <w:r>
              <w:rPr>
                <w:rFonts w:hint="eastAsia"/>
                <w:kern w:val="0"/>
                <w:sz w:val="24"/>
                <w:szCs w:val="22"/>
              </w:rPr>
              <w:t>的3</w:t>
            </w:r>
            <w:r>
              <w:rPr>
                <w:kern w:val="0"/>
                <w:sz w:val="24"/>
                <w:szCs w:val="22"/>
              </w:rPr>
              <w:t>类标准，昼间≤65dB(A)，夜间≤55dB(A)。</w:t>
            </w:r>
          </w:p>
        </w:tc>
      </w:tr>
    </w:tbl>
    <w:p>
      <w:pPr>
        <w:rPr>
          <w:b/>
          <w:sz w:val="28"/>
        </w:rPr>
        <w:sectPr>
          <w:footerReference r:id="rId5" w:type="default"/>
          <w:pgSz w:w="11906" w:h="16838"/>
          <w:pgMar w:top="1077" w:right="1418" w:bottom="471" w:left="1418" w:header="851" w:footer="992" w:gutter="0"/>
          <w:pgNumType w:fmt="decimal" w:start="1"/>
          <w:cols w:space="720" w:num="1"/>
          <w:docGrid w:type="lines" w:linePitch="312" w:charSpace="0"/>
        </w:sectPr>
      </w:pPr>
    </w:p>
    <w:p>
      <w:pPr>
        <w:rPr>
          <w:b/>
          <w:sz w:val="28"/>
        </w:rPr>
      </w:pPr>
      <w:r>
        <w:rPr>
          <w:b/>
          <w:sz w:val="28"/>
        </w:rPr>
        <w:t>续表一</w:t>
      </w:r>
    </w:p>
    <w:tbl>
      <w:tblPr>
        <w:tblStyle w:val="21"/>
        <w:tblpPr w:leftFromText="180" w:rightFromText="180" w:vertAnchor="text" w:tblpXSpec="center" w:tblpY="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74" w:hRule="atLeast"/>
        </w:trPr>
        <w:tc>
          <w:tcPr>
            <w:tcW w:w="1992" w:type="dxa"/>
            <w:vAlign w:val="center"/>
          </w:tcPr>
          <w:p>
            <w:pPr>
              <w:adjustRightInd w:val="0"/>
              <w:snapToGrid w:val="0"/>
              <w:spacing w:line="360" w:lineRule="auto"/>
              <w:jc w:val="center"/>
              <w:rPr>
                <w:bCs/>
                <w:sz w:val="24"/>
              </w:rPr>
            </w:pPr>
            <w:r>
              <w:rPr>
                <w:bCs/>
                <w:sz w:val="24"/>
              </w:rPr>
              <w:t>工程基本情况</w:t>
            </w:r>
          </w:p>
        </w:tc>
        <w:tc>
          <w:tcPr>
            <w:tcW w:w="7294" w:type="dxa"/>
          </w:tcPr>
          <w:p>
            <w:pPr>
              <w:autoSpaceDE w:val="0"/>
              <w:autoSpaceDN w:val="0"/>
              <w:adjustRightInd w:val="0"/>
              <w:spacing w:line="360" w:lineRule="auto"/>
              <w:jc w:val="left"/>
              <w:rPr>
                <w:b/>
                <w:kern w:val="0"/>
                <w:sz w:val="20"/>
                <w:szCs w:val="20"/>
              </w:rPr>
            </w:pPr>
            <w:r>
              <w:rPr>
                <w:b/>
                <w:kern w:val="0"/>
                <w:sz w:val="24"/>
              </w:rPr>
              <w:t>1、项目情况：</w:t>
            </w:r>
          </w:p>
          <w:p>
            <w:pPr>
              <w:spacing w:line="430" w:lineRule="exact"/>
              <w:ind w:firstLine="480" w:firstLineChars="200"/>
              <w:rPr>
                <w:kern w:val="0"/>
                <w:sz w:val="24"/>
              </w:rPr>
            </w:pPr>
            <w:r>
              <w:rPr>
                <w:rFonts w:hint="eastAsia"/>
                <w:bCs/>
                <w:sz w:val="24"/>
                <w:szCs w:val="36"/>
              </w:rPr>
              <w:t>港SAMPLE GROUP ASIA PACIFIC LIMITED公司选址深圳市盐田区沙头角保税区15栋厂房第一层南座及第二层南北座及第三层南北座；开办“样板王制造（深圳）有限公司”（以下简称本项目），主要从事布料的生产加工、家居布料样板册、墙纸样板册、窗帘样板册、其他家居材料样板册的生产，布料、墙纸、窗帘、家居材料及其样板册的仓储配送，年产量为200吨、200万本、30万本、50万本、20万本、300吨，租赁生产场所建筑面积为11500平方米</w:t>
            </w:r>
            <w:r>
              <w:rPr>
                <w:bCs/>
                <w:sz w:val="24"/>
                <w:szCs w:val="36"/>
              </w:rPr>
              <w:t>（登记（备案）号：深房租盐田2016001073）</w:t>
            </w:r>
            <w:r>
              <w:rPr>
                <w:rFonts w:hint="eastAsia"/>
                <w:bCs/>
                <w:sz w:val="24"/>
                <w:szCs w:val="36"/>
              </w:rPr>
              <w:t>，员工人数为400人。</w:t>
            </w:r>
            <w:r>
              <w:rPr>
                <w:rFonts w:hint="eastAsia"/>
                <w:kern w:val="0"/>
                <w:sz w:val="24"/>
              </w:rPr>
              <w:t xml:space="preserve"> 。</w:t>
            </w:r>
          </w:p>
          <w:p>
            <w:pPr>
              <w:spacing w:line="430" w:lineRule="exact"/>
              <w:ind w:firstLine="480" w:firstLineChars="200"/>
              <w:rPr>
                <w:bCs/>
                <w:sz w:val="24"/>
              </w:rPr>
            </w:pPr>
            <w:r>
              <w:rPr>
                <w:kern w:val="0"/>
                <w:sz w:val="24"/>
              </w:rPr>
              <w:t>2016年3</w:t>
            </w:r>
            <w:r>
              <w:rPr>
                <w:rFonts w:hint="eastAsia"/>
                <w:kern w:val="0"/>
                <w:sz w:val="24"/>
              </w:rPr>
              <w:t>月</w:t>
            </w:r>
            <w:r>
              <w:rPr>
                <w:kern w:val="0"/>
                <w:sz w:val="24"/>
              </w:rPr>
              <w:t>委托</w:t>
            </w:r>
            <w:r>
              <w:rPr>
                <w:bCs/>
                <w:sz w:val="24"/>
                <w:szCs w:val="36"/>
              </w:rPr>
              <w:t>重庆市环境保护工程设计研究院有限公司</w:t>
            </w:r>
            <w:r>
              <w:rPr>
                <w:kern w:val="0"/>
                <w:sz w:val="24"/>
              </w:rPr>
              <w:t>完成了环评报告表的编制，2016年5月取得了环境影响报告表的审批意见，</w:t>
            </w:r>
            <w:r>
              <w:rPr>
                <w:sz w:val="24"/>
                <w:szCs w:val="52"/>
              </w:rPr>
              <w:t>《深圳市</w:t>
            </w:r>
            <w:r>
              <w:rPr>
                <w:rFonts w:hint="eastAsia"/>
                <w:sz w:val="24"/>
                <w:szCs w:val="52"/>
              </w:rPr>
              <w:t>盐田区环境保护局</w:t>
            </w:r>
            <w:r>
              <w:rPr>
                <w:sz w:val="24"/>
                <w:szCs w:val="52"/>
              </w:rPr>
              <w:t>建设项目环境影响</w:t>
            </w:r>
            <w:r>
              <w:rPr>
                <w:rFonts w:hint="eastAsia"/>
                <w:sz w:val="24"/>
                <w:szCs w:val="52"/>
              </w:rPr>
              <w:t>审查批复</w:t>
            </w:r>
            <w:r>
              <w:rPr>
                <w:sz w:val="24"/>
                <w:szCs w:val="52"/>
              </w:rPr>
              <w:t>》</w:t>
            </w:r>
            <w:r>
              <w:rPr>
                <w:rFonts w:hint="eastAsia"/>
                <w:sz w:val="24"/>
                <w:szCs w:val="52"/>
              </w:rPr>
              <w:t>深盐环批[20</w:t>
            </w:r>
            <w:r>
              <w:rPr>
                <w:sz w:val="24"/>
                <w:szCs w:val="52"/>
              </w:rPr>
              <w:t>16</w:t>
            </w:r>
            <w:r>
              <w:rPr>
                <w:rFonts w:hint="eastAsia"/>
                <w:sz w:val="24"/>
                <w:szCs w:val="52"/>
              </w:rPr>
              <w:t>]800</w:t>
            </w:r>
            <w:r>
              <w:rPr>
                <w:sz w:val="24"/>
                <w:szCs w:val="52"/>
              </w:rPr>
              <w:t>17号</w:t>
            </w:r>
            <w:r>
              <w:rPr>
                <w:rFonts w:hint="eastAsia"/>
                <w:sz w:val="24"/>
                <w:szCs w:val="52"/>
              </w:rPr>
              <w:t>。</w:t>
            </w:r>
          </w:p>
          <w:p>
            <w:pPr>
              <w:autoSpaceDE w:val="0"/>
              <w:autoSpaceDN w:val="0"/>
              <w:adjustRightInd w:val="0"/>
              <w:spacing w:line="360" w:lineRule="auto"/>
              <w:jc w:val="left"/>
              <w:rPr>
                <w:b/>
                <w:kern w:val="0"/>
                <w:sz w:val="24"/>
                <w:szCs w:val="22"/>
              </w:rPr>
            </w:pPr>
            <w:r>
              <w:rPr>
                <w:rFonts w:hint="eastAsia"/>
                <w:b/>
                <w:kern w:val="0"/>
                <w:sz w:val="24"/>
                <w:szCs w:val="22"/>
              </w:rPr>
              <w:t>2、项目的地理位置及周边环境现状</w:t>
            </w:r>
          </w:p>
          <w:p>
            <w:pPr>
              <w:spacing w:line="430" w:lineRule="exact"/>
              <w:ind w:firstLine="480" w:firstLineChars="200"/>
              <w:rPr>
                <w:kern w:val="0"/>
                <w:sz w:val="24"/>
              </w:rPr>
            </w:pPr>
            <w:r>
              <w:rPr>
                <w:kern w:val="0"/>
                <w:sz w:val="24"/>
              </w:rPr>
              <w:t>本项目位于</w:t>
            </w:r>
            <w:r>
              <w:rPr>
                <w:rFonts w:hint="eastAsia" w:ascii="宋体" w:hAnsi="宋体" w:cs="宋体"/>
                <w:sz w:val="24"/>
              </w:rPr>
              <w:t>深圳市盐田区沙头角保税区15栋厂房第一层南座及第二层南北座及第三层南北座</w:t>
            </w:r>
            <w:r>
              <w:rPr>
                <w:kern w:val="0"/>
                <w:sz w:val="24"/>
              </w:rPr>
              <w:t>，</w:t>
            </w:r>
            <w:r>
              <w:rPr>
                <w:rFonts w:hint="eastAsia"/>
                <w:kern w:val="0"/>
                <w:sz w:val="24"/>
              </w:rPr>
              <w:t>共</w:t>
            </w:r>
            <w:r>
              <w:rPr>
                <w:kern w:val="0"/>
                <w:sz w:val="24"/>
              </w:rPr>
              <w:t>租赁</w:t>
            </w:r>
            <w:r>
              <w:rPr>
                <w:rFonts w:hint="eastAsia"/>
                <w:kern w:val="0"/>
                <w:sz w:val="24"/>
              </w:rPr>
              <w:t>厂房</w:t>
            </w:r>
            <w:r>
              <w:rPr>
                <w:kern w:val="0"/>
                <w:sz w:val="24"/>
              </w:rPr>
              <w:t>面积</w:t>
            </w:r>
            <w:r>
              <w:rPr>
                <w:rFonts w:hint="eastAsia"/>
                <w:kern w:val="0"/>
                <w:sz w:val="24"/>
              </w:rPr>
              <w:t>11500</w:t>
            </w:r>
            <w:r>
              <w:rPr>
                <w:kern w:val="0"/>
                <w:sz w:val="24"/>
              </w:rPr>
              <w:t>平方米</w:t>
            </w:r>
            <w:r>
              <w:rPr>
                <w:sz w:val="24"/>
              </w:rPr>
              <w:t>。</w:t>
            </w:r>
            <w:r>
              <w:rPr>
                <w:rFonts w:hint="eastAsia"/>
                <w:sz w:val="24"/>
              </w:rPr>
              <w:t>厂区集生产车间、仓库、办公间于一体。</w:t>
            </w:r>
            <w:r>
              <w:rPr>
                <w:rFonts w:hint="eastAsia"/>
                <w:kern w:val="0"/>
                <w:sz w:val="24"/>
              </w:rPr>
              <w:t>本项目</w:t>
            </w:r>
            <w:r>
              <w:rPr>
                <w:rFonts w:hint="eastAsia"/>
                <w:color w:val="000000"/>
                <w:sz w:val="24"/>
              </w:rPr>
              <w:t>厂房为8层建筑，该栋厂房一楼北座是威明公司，4-5楼</w:t>
            </w:r>
            <w:r>
              <w:rPr>
                <w:rFonts w:hint="eastAsia"/>
                <w:bCs/>
                <w:sz w:val="24"/>
                <w:szCs w:val="36"/>
              </w:rPr>
              <w:t>为深圳市智讯拓科技公司，6-8楼为威明公司仓库。</w:t>
            </w:r>
          </w:p>
          <w:p>
            <w:pPr>
              <w:adjustRightInd w:val="0"/>
              <w:snapToGrid w:val="0"/>
              <w:spacing w:line="240" w:lineRule="atLeast"/>
              <w:jc w:val="center"/>
              <w:rPr>
                <w:b/>
                <w:bCs/>
                <w:sz w:val="24"/>
              </w:rPr>
            </w:pPr>
            <w:r>
              <w:rPr>
                <w:b/>
                <w:bCs/>
                <w:sz w:val="24"/>
              </w:rPr>
              <w:t>项目选址坐标</w:t>
            </w:r>
          </w:p>
          <w:tbl>
            <w:tblPr>
              <w:tblStyle w:val="20"/>
              <w:tblpPr w:leftFromText="180" w:rightFromText="180" w:vertAnchor="text" w:horzAnchor="margin" w:tblpXSpec="center" w:tblpY="17"/>
              <w:tblOverlap w:val="never"/>
              <w:tblW w:w="64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33"/>
              <w:gridCol w:w="32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trPr>
              <w:tc>
                <w:tcPr>
                  <w:tcW w:w="3133" w:type="dxa"/>
                  <w:vAlign w:val="center"/>
                </w:tcPr>
                <w:p>
                  <w:pPr>
                    <w:snapToGrid w:val="0"/>
                    <w:spacing w:before="62" w:beforeLines="20" w:after="62" w:afterLines="20"/>
                    <w:jc w:val="center"/>
                    <w:rPr>
                      <w:b/>
                      <w:szCs w:val="21"/>
                    </w:rPr>
                  </w:pPr>
                  <w:r>
                    <w:rPr>
                      <w:rFonts w:hint="eastAsia"/>
                      <w:b/>
                      <w:szCs w:val="21"/>
                    </w:rPr>
                    <w:t xml:space="preserve"> </w:t>
                  </w:r>
                  <w:r>
                    <w:rPr>
                      <w:b/>
                      <w:szCs w:val="21"/>
                    </w:rPr>
                    <w:t>X坐标</w:t>
                  </w:r>
                </w:p>
              </w:tc>
              <w:tc>
                <w:tcPr>
                  <w:tcW w:w="3283" w:type="dxa"/>
                  <w:vAlign w:val="center"/>
                </w:tcPr>
                <w:p>
                  <w:pPr>
                    <w:snapToGrid w:val="0"/>
                    <w:spacing w:before="62" w:beforeLines="20" w:after="62" w:afterLines="20"/>
                    <w:jc w:val="center"/>
                    <w:rPr>
                      <w:b/>
                      <w:szCs w:val="21"/>
                    </w:rPr>
                  </w:pPr>
                  <w:r>
                    <w:rPr>
                      <w:b/>
                      <w:szCs w:val="21"/>
                    </w:rPr>
                    <w:t>Y坐标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trPr>
              <w:tc>
                <w:tcPr>
                  <w:tcW w:w="3133" w:type="dxa"/>
                </w:tcPr>
                <w:p>
                  <w:pPr>
                    <w:adjustRightInd w:val="0"/>
                    <w:snapToGrid w:val="0"/>
                    <w:spacing w:line="360" w:lineRule="auto"/>
                    <w:ind w:firstLine="840" w:firstLineChars="400"/>
                    <w:rPr>
                      <w:bCs/>
                      <w:szCs w:val="21"/>
                    </w:rPr>
                  </w:pPr>
                  <w:r>
                    <w:rPr>
                      <w:bCs/>
                      <w:szCs w:val="21"/>
                    </w:rPr>
                    <w:t>21071.881</w:t>
                  </w:r>
                </w:p>
              </w:tc>
              <w:tc>
                <w:tcPr>
                  <w:tcW w:w="3283" w:type="dxa"/>
                </w:tcPr>
                <w:p>
                  <w:pPr>
                    <w:adjustRightInd w:val="0"/>
                    <w:snapToGrid w:val="0"/>
                    <w:spacing w:line="360" w:lineRule="auto"/>
                    <w:ind w:firstLine="840" w:firstLineChars="400"/>
                    <w:rPr>
                      <w:bCs/>
                      <w:szCs w:val="21"/>
                    </w:rPr>
                  </w:pPr>
                  <w:r>
                    <w:rPr>
                      <w:bCs/>
                      <w:szCs w:val="21"/>
                    </w:rPr>
                    <w:t>133687.342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3" w:hRule="atLeast"/>
              </w:trPr>
              <w:tc>
                <w:tcPr>
                  <w:tcW w:w="3133" w:type="dxa"/>
                </w:tcPr>
                <w:p>
                  <w:pPr>
                    <w:adjustRightInd w:val="0"/>
                    <w:snapToGrid w:val="0"/>
                    <w:spacing w:line="360" w:lineRule="auto"/>
                    <w:ind w:firstLine="840" w:firstLineChars="400"/>
                    <w:rPr>
                      <w:bCs/>
                      <w:szCs w:val="21"/>
                    </w:rPr>
                  </w:pPr>
                  <w:r>
                    <w:rPr>
                      <w:bCs/>
                      <w:szCs w:val="21"/>
                    </w:rPr>
                    <w:t>21023.568</w:t>
                  </w:r>
                </w:p>
              </w:tc>
              <w:tc>
                <w:tcPr>
                  <w:tcW w:w="3283" w:type="dxa"/>
                </w:tcPr>
                <w:p>
                  <w:pPr>
                    <w:adjustRightInd w:val="0"/>
                    <w:snapToGrid w:val="0"/>
                    <w:spacing w:line="360" w:lineRule="auto"/>
                    <w:ind w:firstLine="840" w:firstLineChars="400"/>
                    <w:rPr>
                      <w:bCs/>
                      <w:szCs w:val="21"/>
                    </w:rPr>
                  </w:pPr>
                  <w:r>
                    <w:rPr>
                      <w:bCs/>
                      <w:szCs w:val="21"/>
                    </w:rPr>
                    <w:t>133735.295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3133" w:type="dxa"/>
                </w:tcPr>
                <w:p>
                  <w:pPr>
                    <w:adjustRightInd w:val="0"/>
                    <w:snapToGrid w:val="0"/>
                    <w:spacing w:line="360" w:lineRule="auto"/>
                    <w:ind w:firstLine="840" w:firstLineChars="400"/>
                    <w:rPr>
                      <w:bCs/>
                      <w:szCs w:val="21"/>
                    </w:rPr>
                  </w:pPr>
                  <w:r>
                    <w:rPr>
                      <w:bCs/>
                      <w:szCs w:val="21"/>
                    </w:rPr>
                    <w:t>20966.308</w:t>
                  </w:r>
                </w:p>
              </w:tc>
              <w:tc>
                <w:tcPr>
                  <w:tcW w:w="3283" w:type="dxa"/>
                </w:tcPr>
                <w:p>
                  <w:pPr>
                    <w:adjustRightInd w:val="0"/>
                    <w:snapToGrid w:val="0"/>
                    <w:spacing w:line="360" w:lineRule="auto"/>
                    <w:ind w:firstLine="840" w:firstLineChars="400"/>
                    <w:rPr>
                      <w:bCs/>
                      <w:szCs w:val="21"/>
                    </w:rPr>
                  </w:pPr>
                  <w:r>
                    <w:rPr>
                      <w:bCs/>
                      <w:szCs w:val="21"/>
                    </w:rPr>
                    <w:t>133682.169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3" w:hRule="atLeast"/>
              </w:trPr>
              <w:tc>
                <w:tcPr>
                  <w:tcW w:w="3133" w:type="dxa"/>
                </w:tcPr>
                <w:p>
                  <w:pPr>
                    <w:adjustRightInd w:val="0"/>
                    <w:snapToGrid w:val="0"/>
                    <w:spacing w:line="360" w:lineRule="auto"/>
                    <w:ind w:firstLine="840" w:firstLineChars="400"/>
                    <w:rPr>
                      <w:bCs/>
                      <w:szCs w:val="21"/>
                    </w:rPr>
                  </w:pPr>
                  <w:r>
                    <w:rPr>
                      <w:bCs/>
                      <w:szCs w:val="21"/>
                    </w:rPr>
                    <w:t>21013.627</w:t>
                  </w:r>
                </w:p>
              </w:tc>
              <w:tc>
                <w:tcPr>
                  <w:tcW w:w="3283" w:type="dxa"/>
                </w:tcPr>
                <w:p>
                  <w:pPr>
                    <w:adjustRightInd w:val="0"/>
                    <w:snapToGrid w:val="0"/>
                    <w:spacing w:line="360" w:lineRule="auto"/>
                    <w:ind w:firstLine="840" w:firstLineChars="400"/>
                    <w:rPr>
                      <w:bCs/>
                      <w:szCs w:val="21"/>
                    </w:rPr>
                  </w:pPr>
                  <w:r>
                    <w:rPr>
                      <w:bCs/>
                      <w:szCs w:val="21"/>
                    </w:rPr>
                    <w:t>133630.635</w:t>
                  </w:r>
                </w:p>
              </w:tc>
            </w:tr>
          </w:tbl>
          <w:p>
            <w:pPr>
              <w:spacing w:line="430" w:lineRule="exact"/>
              <w:ind w:firstLine="480" w:firstLineChars="200"/>
              <w:rPr>
                <w:kern w:val="0"/>
                <w:sz w:val="24"/>
              </w:rPr>
            </w:pPr>
            <w:r>
              <w:rPr>
                <w:kern w:val="0"/>
                <w:sz w:val="24"/>
              </w:rPr>
              <w:t xml:space="preserve"> </w:t>
            </w:r>
          </w:p>
          <w:p>
            <w:pPr>
              <w:spacing w:line="430" w:lineRule="exact"/>
              <w:ind w:firstLine="480" w:firstLineChars="200"/>
              <w:rPr>
                <w:kern w:val="0"/>
                <w:sz w:val="24"/>
              </w:rPr>
            </w:pPr>
            <w:r>
              <w:rPr>
                <w:rFonts w:hint="eastAsia"/>
                <w:kern w:val="0"/>
                <w:sz w:val="24"/>
              </w:rPr>
              <w:t>项目选址地理位置示意图见附图</w:t>
            </w:r>
            <w:r>
              <w:rPr>
                <w:kern w:val="0"/>
                <w:sz w:val="24"/>
              </w:rPr>
              <w:t>1</w:t>
            </w:r>
            <w:r>
              <w:rPr>
                <w:rFonts w:hint="eastAsia"/>
                <w:kern w:val="0"/>
                <w:sz w:val="24"/>
              </w:rPr>
              <w:t>。</w:t>
            </w:r>
          </w:p>
          <w:p>
            <w:pPr>
              <w:autoSpaceDE w:val="0"/>
              <w:autoSpaceDN w:val="0"/>
              <w:adjustRightInd w:val="0"/>
              <w:spacing w:line="360" w:lineRule="auto"/>
              <w:rPr>
                <w:b/>
                <w:bCs/>
                <w:szCs w:val="21"/>
              </w:rPr>
            </w:pPr>
          </w:p>
          <w:p>
            <w:pPr>
              <w:autoSpaceDE w:val="0"/>
              <w:autoSpaceDN w:val="0"/>
              <w:adjustRightInd w:val="0"/>
              <w:spacing w:line="360" w:lineRule="auto"/>
              <w:jc w:val="center"/>
              <w:rPr>
                <w:b/>
                <w:bCs/>
                <w:szCs w:val="21"/>
              </w:rPr>
            </w:pPr>
          </w:p>
          <w:p>
            <w:pPr>
              <w:autoSpaceDE w:val="0"/>
              <w:autoSpaceDN w:val="0"/>
              <w:adjustRightInd w:val="0"/>
              <w:spacing w:line="360" w:lineRule="auto"/>
              <w:jc w:val="center"/>
              <w:rPr>
                <w:b/>
                <w:bCs/>
                <w:szCs w:val="21"/>
              </w:rPr>
            </w:pPr>
          </w:p>
          <w:p>
            <w:pPr>
              <w:widowControl/>
              <w:jc w:val="left"/>
              <w:rPr>
                <w:rFonts w:ascii="宋体" w:hAnsi="宋体" w:cs="宋体"/>
                <w:kern w:val="0"/>
                <w:sz w:val="24"/>
              </w:rPr>
            </w:pPr>
          </w:p>
          <w:p>
            <w:pPr>
              <w:autoSpaceDE w:val="0"/>
              <w:autoSpaceDN w:val="0"/>
              <w:adjustRightInd w:val="0"/>
              <w:spacing w:line="360" w:lineRule="auto"/>
              <w:rPr>
                <w:kern w:val="0"/>
                <w:sz w:val="24"/>
              </w:rPr>
            </w:pPr>
          </w:p>
        </w:tc>
      </w:tr>
    </w:tbl>
    <w:p>
      <w:pPr>
        <w:rPr>
          <w:b/>
          <w:sz w:val="28"/>
          <w:highlight w:val="yellow"/>
        </w:rPr>
        <w:sectPr>
          <w:pgSz w:w="11906" w:h="16838"/>
          <w:pgMar w:top="1077" w:right="1418" w:bottom="471" w:left="1418" w:header="851" w:footer="992" w:gutter="0"/>
          <w:pgNumType w:fmt="decimal"/>
          <w:cols w:space="720" w:num="1"/>
          <w:docGrid w:type="lines" w:linePitch="312" w:charSpace="0"/>
        </w:sectPr>
      </w:pPr>
    </w:p>
    <w:p>
      <w:pPr>
        <w:rPr>
          <w:b/>
          <w:sz w:val="28"/>
        </w:rPr>
      </w:pPr>
      <w:r>
        <w:rPr>
          <w:rFonts w:hint="eastAsia"/>
          <w:b/>
          <w:sz w:val="28"/>
        </w:rPr>
        <w:t>续表一</w:t>
      </w:r>
    </w:p>
    <w:tbl>
      <w:tblPr>
        <w:tblStyle w:val="21"/>
        <w:tblpPr w:leftFromText="180" w:rightFromText="180" w:vertAnchor="text" w:tblpXSpec="center" w:tblpY="1"/>
        <w:tblW w:w="9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7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74" w:hRule="atLeast"/>
        </w:trPr>
        <w:tc>
          <w:tcPr>
            <w:tcW w:w="2022" w:type="dxa"/>
            <w:vAlign w:val="center"/>
          </w:tcPr>
          <w:p>
            <w:pPr>
              <w:adjustRightInd w:val="0"/>
              <w:snapToGrid w:val="0"/>
              <w:spacing w:line="360" w:lineRule="auto"/>
              <w:jc w:val="center"/>
              <w:rPr>
                <w:bCs/>
                <w:sz w:val="24"/>
              </w:rPr>
            </w:pPr>
            <w:r>
              <w:rPr>
                <w:bCs/>
                <w:sz w:val="24"/>
              </w:rPr>
              <w:t>工程基本情况</w:t>
            </w:r>
          </w:p>
        </w:tc>
        <w:tc>
          <w:tcPr>
            <w:tcW w:w="7405" w:type="dxa"/>
          </w:tcPr>
          <w:p>
            <w:pPr>
              <w:autoSpaceDE w:val="0"/>
              <w:autoSpaceDN w:val="0"/>
              <w:adjustRightInd w:val="0"/>
              <w:spacing w:line="360" w:lineRule="auto"/>
              <w:jc w:val="center"/>
              <w:rPr>
                <w:b/>
                <w:kern w:val="0"/>
                <w:szCs w:val="21"/>
              </w:rPr>
            </w:pPr>
            <w:r>
              <w:rPr>
                <w:b/>
                <w:bCs/>
                <w:szCs w:val="21"/>
                <w:bdr w:val="single" w:color="auto" w:sz="4" w:space="0"/>
              </w:rPr>
              <w:drawing>
                <wp:anchor distT="0" distB="0" distL="114300" distR="114300" simplePos="0" relativeHeight="252106752" behindDoc="0" locked="0" layoutInCell="1" allowOverlap="1">
                  <wp:simplePos x="0" y="0"/>
                  <wp:positionH relativeFrom="column">
                    <wp:posOffset>173355</wp:posOffset>
                  </wp:positionH>
                  <wp:positionV relativeFrom="paragraph">
                    <wp:posOffset>98425</wp:posOffset>
                  </wp:positionV>
                  <wp:extent cx="4218940" cy="2785110"/>
                  <wp:effectExtent l="0" t="0" r="0" b="0"/>
                  <wp:wrapTopAndBottom/>
                  <wp:docPr id="54" name="图片 54" descr="卫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卫星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18940" cy="2785110"/>
                          </a:xfrm>
                          <a:prstGeom prst="rect">
                            <a:avLst/>
                          </a:prstGeom>
                          <a:noFill/>
                          <a:ln>
                            <a:noFill/>
                          </a:ln>
                        </pic:spPr>
                      </pic:pic>
                    </a:graphicData>
                  </a:graphic>
                </wp:anchor>
              </w:drawing>
            </w:r>
            <w:r>
              <w:rPr>
                <w:rFonts w:hint="eastAsia"/>
                <w:b/>
                <w:kern w:val="0"/>
                <w:szCs w:val="21"/>
              </w:rPr>
              <w:t>附图1 项目地理位置示意图</w:t>
            </w:r>
          </w:p>
          <w:p>
            <w:pPr>
              <w:autoSpaceDE w:val="0"/>
              <w:autoSpaceDN w:val="0"/>
              <w:adjustRightInd w:val="0"/>
              <w:spacing w:line="360" w:lineRule="auto"/>
              <w:jc w:val="left"/>
              <w:rPr>
                <w:b/>
                <w:kern w:val="0"/>
                <w:sz w:val="24"/>
                <w:szCs w:val="22"/>
              </w:rPr>
            </w:pPr>
          </w:p>
          <w:p>
            <w:pPr>
              <w:autoSpaceDE w:val="0"/>
              <w:autoSpaceDN w:val="0"/>
              <w:adjustRightInd w:val="0"/>
              <w:spacing w:line="360" w:lineRule="auto"/>
              <w:jc w:val="left"/>
              <w:rPr>
                <w:b/>
                <w:kern w:val="0"/>
                <w:sz w:val="24"/>
                <w:szCs w:val="22"/>
              </w:rPr>
            </w:pPr>
            <w:r>
              <w:rPr>
                <w:rFonts w:hint="eastAsia"/>
                <w:b/>
                <w:kern w:val="0"/>
                <w:sz w:val="24"/>
                <w:szCs w:val="22"/>
              </w:rPr>
              <w:t>3</w:t>
            </w:r>
            <w:r>
              <w:rPr>
                <w:b/>
                <w:kern w:val="0"/>
                <w:sz w:val="24"/>
                <w:szCs w:val="22"/>
              </w:rPr>
              <w:t>、项目建设内容</w:t>
            </w:r>
          </w:p>
          <w:p>
            <w:pPr>
              <w:autoSpaceDE w:val="0"/>
              <w:autoSpaceDN w:val="0"/>
              <w:adjustRightInd w:val="0"/>
              <w:spacing w:line="360" w:lineRule="auto"/>
              <w:ind w:firstLine="480" w:firstLineChars="200"/>
              <w:jc w:val="left"/>
              <w:rPr>
                <w:kern w:val="0"/>
                <w:sz w:val="24"/>
                <w:szCs w:val="22"/>
              </w:rPr>
            </w:pPr>
            <w:r>
              <w:rPr>
                <w:rFonts w:hint="eastAsia"/>
                <w:kern w:val="0"/>
                <w:sz w:val="24"/>
                <w:szCs w:val="22"/>
              </w:rPr>
              <w:t>项目的主要内容是</w:t>
            </w:r>
            <w:r>
              <w:rPr>
                <w:rFonts w:hint="eastAsia"/>
                <w:kern w:val="0"/>
                <w:sz w:val="24"/>
              </w:rPr>
              <w:t>金银摆件及电铸礼品的加工生产，</w:t>
            </w:r>
            <w:r>
              <w:rPr>
                <w:rFonts w:hint="eastAsia"/>
                <w:kern w:val="0"/>
                <w:sz w:val="24"/>
                <w:szCs w:val="22"/>
              </w:rPr>
              <w:t>规模见下表</w:t>
            </w:r>
          </w:p>
          <w:p>
            <w:pPr>
              <w:autoSpaceDE w:val="0"/>
              <w:autoSpaceDN w:val="0"/>
              <w:adjustRightInd w:val="0"/>
              <w:spacing w:line="360" w:lineRule="auto"/>
              <w:jc w:val="center"/>
              <w:rPr>
                <w:b/>
                <w:bCs/>
                <w:szCs w:val="21"/>
              </w:rPr>
            </w:pPr>
            <w:r>
              <w:rPr>
                <w:rFonts w:hint="eastAsia"/>
                <w:b/>
                <w:bCs/>
                <w:szCs w:val="21"/>
              </w:rPr>
              <w:t>项目产品方案</w:t>
            </w:r>
          </w:p>
          <w:tbl>
            <w:tblPr>
              <w:tblStyle w:val="20"/>
              <w:tblW w:w="70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82"/>
              <w:gridCol w:w="2388"/>
              <w:gridCol w:w="1623"/>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 w:hRule="atLeast"/>
                <w:jc w:val="center"/>
              </w:trPr>
              <w:tc>
                <w:tcPr>
                  <w:tcW w:w="723" w:type="dxa"/>
                </w:tcPr>
                <w:p>
                  <w:pPr>
                    <w:adjustRightInd w:val="0"/>
                    <w:snapToGrid w:val="0"/>
                    <w:spacing w:before="62" w:beforeLines="20" w:after="62" w:afterLines="20"/>
                    <w:jc w:val="center"/>
                    <w:rPr>
                      <w:b/>
                      <w:szCs w:val="21"/>
                    </w:rPr>
                  </w:pPr>
                  <w:r>
                    <w:rPr>
                      <w:rFonts w:hint="eastAsia"/>
                      <w:b/>
                      <w:szCs w:val="21"/>
                    </w:rPr>
                    <w:t>序号</w:t>
                  </w:r>
                </w:p>
              </w:tc>
              <w:tc>
                <w:tcPr>
                  <w:tcW w:w="1082" w:type="dxa"/>
                  <w:vAlign w:val="center"/>
                </w:tcPr>
                <w:p>
                  <w:pPr>
                    <w:adjustRightInd w:val="0"/>
                    <w:snapToGrid w:val="0"/>
                    <w:spacing w:before="62" w:beforeLines="20" w:after="62" w:afterLines="20"/>
                    <w:jc w:val="center"/>
                    <w:rPr>
                      <w:b/>
                      <w:szCs w:val="21"/>
                    </w:rPr>
                  </w:pPr>
                  <w:r>
                    <w:rPr>
                      <w:rFonts w:hint="eastAsia"/>
                      <w:b/>
                      <w:szCs w:val="21"/>
                    </w:rPr>
                    <w:t>工程名称</w:t>
                  </w:r>
                </w:p>
              </w:tc>
              <w:tc>
                <w:tcPr>
                  <w:tcW w:w="2388" w:type="dxa"/>
                  <w:vAlign w:val="center"/>
                </w:tcPr>
                <w:p>
                  <w:pPr>
                    <w:adjustRightInd w:val="0"/>
                    <w:snapToGrid w:val="0"/>
                    <w:spacing w:before="62" w:beforeLines="20" w:after="62" w:afterLines="20"/>
                    <w:jc w:val="center"/>
                    <w:rPr>
                      <w:b/>
                      <w:szCs w:val="21"/>
                    </w:rPr>
                  </w:pPr>
                  <w:r>
                    <w:rPr>
                      <w:b/>
                      <w:szCs w:val="21"/>
                    </w:rPr>
                    <w:t>产品名称</w:t>
                  </w:r>
                </w:p>
              </w:tc>
              <w:tc>
                <w:tcPr>
                  <w:tcW w:w="1623" w:type="dxa"/>
                  <w:vAlign w:val="center"/>
                </w:tcPr>
                <w:p>
                  <w:pPr>
                    <w:adjustRightInd w:val="0"/>
                    <w:snapToGrid w:val="0"/>
                    <w:spacing w:before="62" w:beforeLines="20" w:after="62" w:afterLines="20"/>
                    <w:jc w:val="center"/>
                    <w:rPr>
                      <w:b/>
                      <w:szCs w:val="21"/>
                    </w:rPr>
                  </w:pPr>
                  <w:r>
                    <w:rPr>
                      <w:b/>
                      <w:szCs w:val="21"/>
                    </w:rPr>
                    <w:t>年设计能力</w:t>
                  </w:r>
                </w:p>
              </w:tc>
              <w:tc>
                <w:tcPr>
                  <w:tcW w:w="1227" w:type="dxa"/>
                  <w:vAlign w:val="center"/>
                </w:tcPr>
                <w:p>
                  <w:pPr>
                    <w:adjustRightInd w:val="0"/>
                    <w:snapToGrid w:val="0"/>
                    <w:spacing w:before="62" w:beforeLines="20" w:after="62" w:afterLines="20"/>
                    <w:jc w:val="center"/>
                    <w:rPr>
                      <w:b/>
                      <w:szCs w:val="21"/>
                    </w:rPr>
                  </w:pPr>
                  <w:r>
                    <w:rPr>
                      <w:b/>
                      <w:szCs w:val="21"/>
                    </w:rPr>
                    <w:t>年运行时数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jc w:val="center"/>
              </w:trPr>
              <w:tc>
                <w:tcPr>
                  <w:tcW w:w="723" w:type="dxa"/>
                </w:tcPr>
                <w:p>
                  <w:pPr>
                    <w:adjustRightInd w:val="0"/>
                    <w:snapToGrid w:val="0"/>
                    <w:spacing w:before="62" w:beforeLines="20" w:after="62" w:afterLines="20"/>
                    <w:jc w:val="center"/>
                    <w:rPr>
                      <w:szCs w:val="21"/>
                    </w:rPr>
                  </w:pPr>
                  <w:r>
                    <w:rPr>
                      <w:rFonts w:hint="eastAsia"/>
                      <w:szCs w:val="21"/>
                    </w:rPr>
                    <w:t>1</w:t>
                  </w:r>
                </w:p>
              </w:tc>
              <w:tc>
                <w:tcPr>
                  <w:tcW w:w="1082" w:type="dxa"/>
                  <w:vMerge w:val="restart"/>
                  <w:vAlign w:val="center"/>
                </w:tcPr>
                <w:p>
                  <w:pPr>
                    <w:adjustRightInd w:val="0"/>
                    <w:snapToGrid w:val="0"/>
                    <w:spacing w:before="62" w:beforeLines="20" w:after="62" w:afterLines="20"/>
                    <w:jc w:val="center"/>
                    <w:rPr>
                      <w:szCs w:val="21"/>
                    </w:rPr>
                  </w:pPr>
                  <w:r>
                    <w:rPr>
                      <w:rFonts w:hint="eastAsia"/>
                      <w:szCs w:val="21"/>
                    </w:rPr>
                    <w:t>生产线</w:t>
                  </w:r>
                </w:p>
              </w:tc>
              <w:tc>
                <w:tcPr>
                  <w:tcW w:w="2388" w:type="dxa"/>
                  <w:vAlign w:val="center"/>
                </w:tcPr>
                <w:p>
                  <w:pPr>
                    <w:adjustRightInd w:val="0"/>
                    <w:snapToGrid w:val="0"/>
                    <w:spacing w:before="62" w:beforeLines="20" w:after="62" w:afterLines="20"/>
                    <w:jc w:val="center"/>
                    <w:rPr>
                      <w:szCs w:val="21"/>
                    </w:rPr>
                  </w:pPr>
                  <w:r>
                    <w:rPr>
                      <w:rFonts w:hint="eastAsia"/>
                      <w:szCs w:val="21"/>
                    </w:rPr>
                    <w:t>布料的生产加工</w:t>
                  </w:r>
                </w:p>
              </w:tc>
              <w:tc>
                <w:tcPr>
                  <w:tcW w:w="1623" w:type="dxa"/>
                  <w:shd w:val="clear" w:color="auto" w:fill="auto"/>
                  <w:vAlign w:val="center"/>
                </w:tcPr>
                <w:p>
                  <w:pPr>
                    <w:adjustRightInd w:val="0"/>
                    <w:snapToGrid w:val="0"/>
                    <w:spacing w:before="62" w:beforeLines="20" w:after="62" w:afterLines="20"/>
                    <w:jc w:val="center"/>
                    <w:rPr>
                      <w:szCs w:val="21"/>
                    </w:rPr>
                  </w:pPr>
                  <w:r>
                    <w:rPr>
                      <w:rFonts w:hint="eastAsia"/>
                      <w:szCs w:val="21"/>
                    </w:rPr>
                    <w:t>200吨</w:t>
                  </w:r>
                </w:p>
              </w:tc>
              <w:tc>
                <w:tcPr>
                  <w:tcW w:w="1227" w:type="dxa"/>
                  <w:vMerge w:val="restart"/>
                  <w:vAlign w:val="center"/>
                </w:tcPr>
                <w:p>
                  <w:pPr>
                    <w:adjustRightInd w:val="0"/>
                    <w:snapToGrid w:val="0"/>
                    <w:spacing w:before="62" w:beforeLines="20" w:after="62" w:afterLines="20"/>
                    <w:jc w:val="center"/>
                    <w:rPr>
                      <w:szCs w:val="21"/>
                    </w:rPr>
                  </w:pPr>
                  <w:r>
                    <w:rPr>
                      <w:szCs w:val="21"/>
                    </w:rPr>
                    <w:t>2640小时</w:t>
                  </w:r>
                </w:p>
                <w:p>
                  <w:pPr>
                    <w:adjustRightInd w:val="0"/>
                    <w:snapToGrid w:val="0"/>
                    <w:spacing w:before="62" w:beforeLines="20" w:after="62" w:afterLines="2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jc w:val="center"/>
              </w:trPr>
              <w:tc>
                <w:tcPr>
                  <w:tcW w:w="723" w:type="dxa"/>
                </w:tcPr>
                <w:p>
                  <w:pPr>
                    <w:adjustRightInd w:val="0"/>
                    <w:snapToGrid w:val="0"/>
                    <w:spacing w:before="62" w:beforeLines="20" w:after="62" w:afterLines="20"/>
                    <w:jc w:val="center"/>
                    <w:rPr>
                      <w:szCs w:val="21"/>
                    </w:rPr>
                  </w:pPr>
                  <w:r>
                    <w:rPr>
                      <w:rFonts w:hint="eastAsia"/>
                      <w:szCs w:val="21"/>
                    </w:rPr>
                    <w:t>2</w:t>
                  </w:r>
                </w:p>
              </w:tc>
              <w:tc>
                <w:tcPr>
                  <w:tcW w:w="1082" w:type="dxa"/>
                  <w:vMerge w:val="continue"/>
                  <w:vAlign w:val="center"/>
                </w:tcPr>
                <w:p>
                  <w:pPr>
                    <w:adjustRightInd w:val="0"/>
                    <w:snapToGrid w:val="0"/>
                    <w:spacing w:before="62" w:beforeLines="20" w:after="62" w:afterLines="20"/>
                    <w:jc w:val="center"/>
                    <w:rPr>
                      <w:szCs w:val="21"/>
                    </w:rPr>
                  </w:pPr>
                </w:p>
              </w:tc>
              <w:tc>
                <w:tcPr>
                  <w:tcW w:w="2388" w:type="dxa"/>
                  <w:vAlign w:val="center"/>
                </w:tcPr>
                <w:p>
                  <w:pPr>
                    <w:adjustRightInd w:val="0"/>
                    <w:snapToGrid w:val="0"/>
                    <w:spacing w:before="62" w:beforeLines="20" w:after="62" w:afterLines="20"/>
                    <w:jc w:val="center"/>
                    <w:rPr>
                      <w:szCs w:val="21"/>
                    </w:rPr>
                  </w:pPr>
                  <w:r>
                    <w:rPr>
                      <w:rFonts w:hint="eastAsia"/>
                      <w:szCs w:val="21"/>
                    </w:rPr>
                    <w:t>家居布料样板册</w:t>
                  </w:r>
                </w:p>
              </w:tc>
              <w:tc>
                <w:tcPr>
                  <w:tcW w:w="1623" w:type="dxa"/>
                  <w:shd w:val="clear" w:color="auto" w:fill="auto"/>
                  <w:vAlign w:val="center"/>
                </w:tcPr>
                <w:p>
                  <w:pPr>
                    <w:adjustRightInd w:val="0"/>
                    <w:snapToGrid w:val="0"/>
                    <w:spacing w:before="62" w:beforeLines="20" w:after="62" w:afterLines="20"/>
                    <w:jc w:val="center"/>
                    <w:rPr>
                      <w:szCs w:val="21"/>
                    </w:rPr>
                  </w:pPr>
                  <w:r>
                    <w:rPr>
                      <w:rFonts w:hint="eastAsia"/>
                      <w:szCs w:val="21"/>
                    </w:rPr>
                    <w:t>200万本</w:t>
                  </w:r>
                </w:p>
              </w:tc>
              <w:tc>
                <w:tcPr>
                  <w:tcW w:w="1227" w:type="dxa"/>
                  <w:vMerge w:val="continue"/>
                  <w:vAlign w:val="center"/>
                </w:tcPr>
                <w:p>
                  <w:pPr>
                    <w:adjustRightInd w:val="0"/>
                    <w:snapToGrid w:val="0"/>
                    <w:spacing w:before="62" w:beforeLines="20" w:after="62" w:afterLines="2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723" w:type="dxa"/>
                </w:tcPr>
                <w:p>
                  <w:pPr>
                    <w:adjustRightInd w:val="0"/>
                    <w:snapToGrid w:val="0"/>
                    <w:spacing w:before="62" w:beforeLines="20" w:after="62" w:afterLines="20"/>
                    <w:jc w:val="center"/>
                    <w:rPr>
                      <w:szCs w:val="21"/>
                    </w:rPr>
                  </w:pPr>
                  <w:r>
                    <w:rPr>
                      <w:rFonts w:hint="eastAsia"/>
                      <w:szCs w:val="21"/>
                    </w:rPr>
                    <w:t>3</w:t>
                  </w:r>
                </w:p>
              </w:tc>
              <w:tc>
                <w:tcPr>
                  <w:tcW w:w="1082" w:type="dxa"/>
                  <w:vMerge w:val="continue"/>
                  <w:vAlign w:val="center"/>
                </w:tcPr>
                <w:p>
                  <w:pPr>
                    <w:adjustRightInd w:val="0"/>
                    <w:snapToGrid w:val="0"/>
                    <w:spacing w:before="62" w:beforeLines="20" w:after="62" w:afterLines="20"/>
                    <w:jc w:val="center"/>
                    <w:rPr>
                      <w:szCs w:val="21"/>
                    </w:rPr>
                  </w:pPr>
                </w:p>
              </w:tc>
              <w:tc>
                <w:tcPr>
                  <w:tcW w:w="2388" w:type="dxa"/>
                  <w:vAlign w:val="center"/>
                </w:tcPr>
                <w:p>
                  <w:pPr>
                    <w:adjustRightInd w:val="0"/>
                    <w:snapToGrid w:val="0"/>
                    <w:spacing w:before="62" w:beforeLines="20" w:after="62" w:afterLines="20"/>
                    <w:jc w:val="center"/>
                    <w:rPr>
                      <w:szCs w:val="21"/>
                    </w:rPr>
                  </w:pPr>
                  <w:r>
                    <w:rPr>
                      <w:rFonts w:hint="eastAsia"/>
                      <w:szCs w:val="21"/>
                    </w:rPr>
                    <w:t>墙纸样板册</w:t>
                  </w:r>
                </w:p>
              </w:tc>
              <w:tc>
                <w:tcPr>
                  <w:tcW w:w="1623" w:type="dxa"/>
                  <w:shd w:val="clear" w:color="auto" w:fill="auto"/>
                </w:tcPr>
                <w:p>
                  <w:pPr>
                    <w:adjustRightInd w:val="0"/>
                    <w:snapToGrid w:val="0"/>
                    <w:spacing w:before="62" w:beforeLines="20" w:after="62" w:afterLines="20"/>
                    <w:jc w:val="center"/>
                    <w:rPr>
                      <w:szCs w:val="21"/>
                    </w:rPr>
                  </w:pPr>
                  <w:r>
                    <w:rPr>
                      <w:rFonts w:hint="eastAsia"/>
                      <w:szCs w:val="21"/>
                    </w:rPr>
                    <w:t>30万本</w:t>
                  </w:r>
                </w:p>
              </w:tc>
              <w:tc>
                <w:tcPr>
                  <w:tcW w:w="1227" w:type="dxa"/>
                  <w:vMerge w:val="continue"/>
                </w:tcPr>
                <w:p>
                  <w:pPr>
                    <w:adjustRightInd w:val="0"/>
                    <w:snapToGrid w:val="0"/>
                    <w:spacing w:before="62" w:beforeLines="20" w:after="62" w:afterLines="2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723" w:type="dxa"/>
                </w:tcPr>
                <w:p>
                  <w:pPr>
                    <w:adjustRightInd w:val="0"/>
                    <w:snapToGrid w:val="0"/>
                    <w:spacing w:before="62" w:beforeLines="20" w:after="62" w:afterLines="20"/>
                    <w:jc w:val="center"/>
                    <w:rPr>
                      <w:szCs w:val="21"/>
                    </w:rPr>
                  </w:pPr>
                  <w:r>
                    <w:rPr>
                      <w:rFonts w:hint="eastAsia"/>
                      <w:szCs w:val="21"/>
                    </w:rPr>
                    <w:t>4</w:t>
                  </w:r>
                </w:p>
              </w:tc>
              <w:tc>
                <w:tcPr>
                  <w:tcW w:w="1082" w:type="dxa"/>
                  <w:vMerge w:val="continue"/>
                  <w:vAlign w:val="center"/>
                </w:tcPr>
                <w:p>
                  <w:pPr>
                    <w:adjustRightInd w:val="0"/>
                    <w:snapToGrid w:val="0"/>
                    <w:spacing w:before="62" w:beforeLines="20" w:after="62" w:afterLines="20"/>
                    <w:jc w:val="center"/>
                    <w:rPr>
                      <w:szCs w:val="21"/>
                    </w:rPr>
                  </w:pPr>
                </w:p>
              </w:tc>
              <w:tc>
                <w:tcPr>
                  <w:tcW w:w="2388" w:type="dxa"/>
                  <w:vAlign w:val="center"/>
                </w:tcPr>
                <w:p>
                  <w:pPr>
                    <w:adjustRightInd w:val="0"/>
                    <w:snapToGrid w:val="0"/>
                    <w:spacing w:before="62" w:beforeLines="20" w:after="62" w:afterLines="20"/>
                    <w:jc w:val="center"/>
                    <w:rPr>
                      <w:szCs w:val="21"/>
                    </w:rPr>
                  </w:pPr>
                  <w:r>
                    <w:rPr>
                      <w:rFonts w:hint="eastAsia"/>
                      <w:szCs w:val="21"/>
                    </w:rPr>
                    <w:t>窗帘样板册</w:t>
                  </w:r>
                </w:p>
              </w:tc>
              <w:tc>
                <w:tcPr>
                  <w:tcW w:w="1623" w:type="dxa"/>
                  <w:shd w:val="clear" w:color="auto" w:fill="auto"/>
                </w:tcPr>
                <w:p>
                  <w:pPr>
                    <w:adjustRightInd w:val="0"/>
                    <w:snapToGrid w:val="0"/>
                    <w:spacing w:before="62" w:beforeLines="20" w:after="62" w:afterLines="20"/>
                    <w:jc w:val="center"/>
                    <w:rPr>
                      <w:szCs w:val="21"/>
                    </w:rPr>
                  </w:pPr>
                  <w:r>
                    <w:rPr>
                      <w:rFonts w:hint="eastAsia"/>
                      <w:szCs w:val="21"/>
                    </w:rPr>
                    <w:t>50万本</w:t>
                  </w:r>
                </w:p>
              </w:tc>
              <w:tc>
                <w:tcPr>
                  <w:tcW w:w="1227" w:type="dxa"/>
                  <w:vMerge w:val="continue"/>
                </w:tcPr>
                <w:p>
                  <w:pPr>
                    <w:adjustRightInd w:val="0"/>
                    <w:snapToGrid w:val="0"/>
                    <w:spacing w:before="62" w:beforeLines="20" w:after="62" w:afterLines="2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723" w:type="dxa"/>
                </w:tcPr>
                <w:p>
                  <w:pPr>
                    <w:adjustRightInd w:val="0"/>
                    <w:snapToGrid w:val="0"/>
                    <w:spacing w:before="62" w:beforeLines="20" w:after="62" w:afterLines="20"/>
                    <w:jc w:val="center"/>
                    <w:rPr>
                      <w:szCs w:val="21"/>
                    </w:rPr>
                  </w:pPr>
                  <w:r>
                    <w:rPr>
                      <w:rFonts w:hint="eastAsia"/>
                      <w:szCs w:val="21"/>
                    </w:rPr>
                    <w:t>5</w:t>
                  </w:r>
                </w:p>
              </w:tc>
              <w:tc>
                <w:tcPr>
                  <w:tcW w:w="1082" w:type="dxa"/>
                  <w:vMerge w:val="continue"/>
                  <w:vAlign w:val="center"/>
                </w:tcPr>
                <w:p>
                  <w:pPr>
                    <w:adjustRightInd w:val="0"/>
                    <w:snapToGrid w:val="0"/>
                    <w:spacing w:before="62" w:beforeLines="20" w:after="62" w:afterLines="20"/>
                    <w:jc w:val="center"/>
                    <w:rPr>
                      <w:szCs w:val="21"/>
                    </w:rPr>
                  </w:pPr>
                </w:p>
              </w:tc>
              <w:tc>
                <w:tcPr>
                  <w:tcW w:w="2388" w:type="dxa"/>
                  <w:vAlign w:val="center"/>
                </w:tcPr>
                <w:p>
                  <w:pPr>
                    <w:adjustRightInd w:val="0"/>
                    <w:snapToGrid w:val="0"/>
                    <w:spacing w:before="62" w:beforeLines="20" w:after="62" w:afterLines="20"/>
                    <w:jc w:val="center"/>
                    <w:rPr>
                      <w:szCs w:val="21"/>
                    </w:rPr>
                  </w:pPr>
                  <w:r>
                    <w:rPr>
                      <w:rFonts w:hint="eastAsia"/>
                      <w:szCs w:val="21"/>
                    </w:rPr>
                    <w:t>其他家居材料样板册</w:t>
                  </w:r>
                </w:p>
              </w:tc>
              <w:tc>
                <w:tcPr>
                  <w:tcW w:w="1623" w:type="dxa"/>
                  <w:shd w:val="clear" w:color="auto" w:fill="auto"/>
                </w:tcPr>
                <w:p>
                  <w:pPr>
                    <w:adjustRightInd w:val="0"/>
                    <w:snapToGrid w:val="0"/>
                    <w:spacing w:before="62" w:beforeLines="20" w:after="62" w:afterLines="20"/>
                    <w:jc w:val="center"/>
                    <w:rPr>
                      <w:szCs w:val="21"/>
                    </w:rPr>
                  </w:pPr>
                  <w:r>
                    <w:rPr>
                      <w:rFonts w:hint="eastAsia"/>
                      <w:szCs w:val="21"/>
                    </w:rPr>
                    <w:t>20万本</w:t>
                  </w:r>
                </w:p>
              </w:tc>
              <w:tc>
                <w:tcPr>
                  <w:tcW w:w="1227" w:type="dxa"/>
                  <w:vMerge w:val="continue"/>
                </w:tcPr>
                <w:p>
                  <w:pPr>
                    <w:adjustRightInd w:val="0"/>
                    <w:snapToGrid w:val="0"/>
                    <w:spacing w:before="62" w:beforeLines="20" w:after="62" w:afterLines="2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723" w:type="dxa"/>
                  <w:vAlign w:val="center"/>
                </w:tcPr>
                <w:p>
                  <w:pPr>
                    <w:adjustRightInd w:val="0"/>
                    <w:snapToGrid w:val="0"/>
                    <w:spacing w:before="62" w:beforeLines="20" w:after="62" w:afterLines="20"/>
                    <w:jc w:val="center"/>
                    <w:rPr>
                      <w:szCs w:val="21"/>
                    </w:rPr>
                  </w:pPr>
                  <w:r>
                    <w:rPr>
                      <w:rFonts w:hint="eastAsia"/>
                      <w:szCs w:val="21"/>
                    </w:rPr>
                    <w:t>6</w:t>
                  </w:r>
                </w:p>
              </w:tc>
              <w:tc>
                <w:tcPr>
                  <w:tcW w:w="1082" w:type="dxa"/>
                  <w:vMerge w:val="continue"/>
                  <w:vAlign w:val="center"/>
                </w:tcPr>
                <w:p>
                  <w:pPr>
                    <w:adjustRightInd w:val="0"/>
                    <w:snapToGrid w:val="0"/>
                    <w:spacing w:before="62" w:beforeLines="20" w:after="62" w:afterLines="20"/>
                    <w:jc w:val="center"/>
                    <w:rPr>
                      <w:szCs w:val="21"/>
                    </w:rPr>
                  </w:pPr>
                </w:p>
              </w:tc>
              <w:tc>
                <w:tcPr>
                  <w:tcW w:w="2388" w:type="dxa"/>
                  <w:vAlign w:val="center"/>
                </w:tcPr>
                <w:p>
                  <w:pPr>
                    <w:adjustRightInd w:val="0"/>
                    <w:snapToGrid w:val="0"/>
                    <w:spacing w:before="62" w:beforeLines="20" w:after="62" w:afterLines="20"/>
                    <w:jc w:val="center"/>
                    <w:rPr>
                      <w:szCs w:val="21"/>
                    </w:rPr>
                  </w:pPr>
                  <w:r>
                    <w:rPr>
                      <w:rFonts w:hint="eastAsia"/>
                      <w:szCs w:val="21"/>
                    </w:rPr>
                    <w:t>布料、墙纸、窗帘、家居材料及其样板册的仓储配送</w:t>
                  </w:r>
                </w:p>
              </w:tc>
              <w:tc>
                <w:tcPr>
                  <w:tcW w:w="1623" w:type="dxa"/>
                  <w:shd w:val="clear" w:color="auto" w:fill="auto"/>
                  <w:vAlign w:val="center"/>
                </w:tcPr>
                <w:p>
                  <w:pPr>
                    <w:adjustRightInd w:val="0"/>
                    <w:snapToGrid w:val="0"/>
                    <w:spacing w:before="62" w:beforeLines="20" w:after="62" w:afterLines="20"/>
                    <w:jc w:val="center"/>
                    <w:rPr>
                      <w:szCs w:val="21"/>
                    </w:rPr>
                  </w:pPr>
                  <w:r>
                    <w:rPr>
                      <w:rFonts w:hint="eastAsia"/>
                      <w:szCs w:val="21"/>
                    </w:rPr>
                    <w:t>300吨</w:t>
                  </w:r>
                </w:p>
              </w:tc>
              <w:tc>
                <w:tcPr>
                  <w:tcW w:w="1227" w:type="dxa"/>
                  <w:vMerge w:val="continue"/>
                </w:tcPr>
                <w:p>
                  <w:pPr>
                    <w:adjustRightInd w:val="0"/>
                    <w:snapToGrid w:val="0"/>
                    <w:spacing w:before="62" w:beforeLines="20" w:after="62" w:afterLines="20"/>
                    <w:jc w:val="center"/>
                    <w:rPr>
                      <w:szCs w:val="21"/>
                    </w:rPr>
                  </w:pPr>
                </w:p>
              </w:tc>
            </w:tr>
          </w:tbl>
          <w:p>
            <w:pPr>
              <w:autoSpaceDE w:val="0"/>
              <w:autoSpaceDN w:val="0"/>
              <w:adjustRightInd w:val="0"/>
              <w:spacing w:line="360" w:lineRule="auto"/>
              <w:jc w:val="center"/>
              <w:rPr>
                <w:b/>
                <w:bCs/>
                <w:szCs w:val="21"/>
              </w:rPr>
            </w:pPr>
          </w:p>
          <w:p>
            <w:pPr>
              <w:autoSpaceDE w:val="0"/>
              <w:autoSpaceDN w:val="0"/>
              <w:adjustRightInd w:val="0"/>
              <w:spacing w:line="360" w:lineRule="auto"/>
              <w:jc w:val="center"/>
              <w:rPr>
                <w:b/>
                <w:bCs/>
                <w:szCs w:val="21"/>
              </w:rPr>
            </w:pPr>
          </w:p>
          <w:p>
            <w:pPr>
              <w:autoSpaceDE w:val="0"/>
              <w:autoSpaceDN w:val="0"/>
              <w:adjustRightInd w:val="0"/>
              <w:spacing w:line="360" w:lineRule="auto"/>
              <w:jc w:val="center"/>
              <w:rPr>
                <w:b/>
                <w:bCs/>
                <w:szCs w:val="21"/>
              </w:rPr>
            </w:pPr>
          </w:p>
          <w:p>
            <w:pPr>
              <w:widowControl/>
              <w:jc w:val="left"/>
              <w:rPr>
                <w:rFonts w:ascii="宋体" w:hAnsi="宋体" w:cs="宋体"/>
                <w:kern w:val="0"/>
                <w:sz w:val="24"/>
              </w:rPr>
            </w:pPr>
          </w:p>
          <w:p>
            <w:pPr>
              <w:autoSpaceDE w:val="0"/>
              <w:autoSpaceDN w:val="0"/>
              <w:adjustRightInd w:val="0"/>
              <w:spacing w:line="360" w:lineRule="auto"/>
              <w:rPr>
                <w:kern w:val="0"/>
                <w:sz w:val="24"/>
              </w:rPr>
            </w:pPr>
          </w:p>
        </w:tc>
      </w:tr>
    </w:tbl>
    <w:p>
      <w:pPr>
        <w:rPr>
          <w:b/>
          <w:sz w:val="28"/>
        </w:rPr>
      </w:pPr>
      <w:r>
        <w:rPr>
          <w:rFonts w:hint="eastAsia"/>
          <w:b/>
          <w:sz w:val="28"/>
        </w:rPr>
        <w:t>续表一</w:t>
      </w:r>
    </w:p>
    <w:tbl>
      <w:tblPr>
        <w:tblStyle w:val="20"/>
        <w:tblpPr w:leftFromText="180" w:rightFromText="180" w:vertAnchor="text" w:tblpXSpec="center" w:tblpY="1"/>
        <w:tblOverlap w:val="never"/>
        <w:tblW w:w="94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22"/>
        <w:gridCol w:w="74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690" w:hRule="atLeast"/>
        </w:trPr>
        <w:tc>
          <w:tcPr>
            <w:tcW w:w="2022" w:type="dxa"/>
            <w:tcBorders>
              <w:top w:val="single" w:color="auto" w:sz="4" w:space="0"/>
              <w:left w:val="single" w:color="auto" w:sz="8" w:space="0"/>
              <w:bottom w:val="single" w:color="auto" w:sz="4" w:space="0"/>
              <w:right w:val="single" w:color="auto" w:sz="8" w:space="0"/>
            </w:tcBorders>
            <w:vAlign w:val="center"/>
          </w:tcPr>
          <w:p>
            <w:pPr>
              <w:adjustRightInd w:val="0"/>
              <w:snapToGrid w:val="0"/>
              <w:spacing w:line="360" w:lineRule="auto"/>
              <w:jc w:val="center"/>
              <w:rPr>
                <w:bCs/>
                <w:sz w:val="24"/>
              </w:rPr>
            </w:pPr>
            <w:r>
              <w:rPr>
                <w:bCs/>
                <w:sz w:val="24"/>
              </w:rPr>
              <w:t>工程基本情况</w:t>
            </w:r>
          </w:p>
        </w:tc>
        <w:tc>
          <w:tcPr>
            <w:tcW w:w="7405" w:type="dxa"/>
            <w:tcBorders>
              <w:top w:val="single" w:color="auto" w:sz="4" w:space="0"/>
              <w:left w:val="single" w:color="auto" w:sz="8" w:space="0"/>
              <w:bottom w:val="single" w:color="auto" w:sz="4" w:space="0"/>
              <w:right w:val="single" w:color="auto" w:sz="8" w:space="0"/>
            </w:tcBorders>
          </w:tcPr>
          <w:p>
            <w:pPr>
              <w:autoSpaceDE w:val="0"/>
              <w:autoSpaceDN w:val="0"/>
              <w:adjustRightInd w:val="0"/>
              <w:spacing w:line="360" w:lineRule="auto"/>
              <w:jc w:val="left"/>
              <w:rPr>
                <w:b/>
                <w:kern w:val="0"/>
                <w:sz w:val="24"/>
                <w:szCs w:val="22"/>
              </w:rPr>
            </w:pPr>
            <w:r>
              <w:rPr>
                <w:b/>
                <w:kern w:val="0"/>
                <w:sz w:val="24"/>
                <w:szCs w:val="22"/>
              </w:rPr>
              <w:t>4、</w:t>
            </w:r>
            <w:r>
              <w:rPr>
                <w:rFonts w:hint="eastAsia"/>
                <w:b/>
                <w:kern w:val="0"/>
                <w:sz w:val="24"/>
                <w:szCs w:val="22"/>
              </w:rPr>
              <w:t>总图布置</w:t>
            </w:r>
          </w:p>
          <w:p>
            <w:pPr>
              <w:adjustRightInd w:val="0"/>
              <w:snapToGrid w:val="0"/>
              <w:spacing w:line="360" w:lineRule="auto"/>
              <w:ind w:firstLine="480" w:firstLineChars="200"/>
              <w:rPr>
                <w:sz w:val="24"/>
              </w:rPr>
            </w:pPr>
            <w:r>
              <w:rPr>
                <w:bCs/>
                <w:kern w:val="0"/>
                <w:sz w:val="24"/>
              </w:rPr>
              <w:t>项目租赁厂房为</w:t>
            </w:r>
            <w:r>
              <w:rPr>
                <w:rFonts w:hint="eastAsia"/>
                <w:bCs/>
                <w:kern w:val="0"/>
                <w:sz w:val="24"/>
              </w:rPr>
              <w:t>1</w:t>
            </w:r>
            <w:r>
              <w:rPr>
                <w:bCs/>
                <w:kern w:val="0"/>
                <w:sz w:val="24"/>
              </w:rPr>
              <w:t>栋</w:t>
            </w:r>
            <w:r>
              <w:rPr>
                <w:rFonts w:hint="eastAsia"/>
                <w:bCs/>
                <w:kern w:val="0"/>
                <w:sz w:val="24"/>
              </w:rPr>
              <w:t>8</w:t>
            </w:r>
            <w:r>
              <w:rPr>
                <w:bCs/>
                <w:kern w:val="0"/>
                <w:sz w:val="24"/>
              </w:rPr>
              <w:t>层建筑</w:t>
            </w:r>
            <w:r>
              <w:rPr>
                <w:kern w:val="0"/>
                <w:sz w:val="24"/>
              </w:rPr>
              <w:t>，本项目位于</w:t>
            </w:r>
            <w:r>
              <w:rPr>
                <w:rFonts w:hint="eastAsia" w:ascii="宋体" w:hAnsi="宋体" w:cs="宋体"/>
                <w:sz w:val="24"/>
              </w:rPr>
              <w:t>深圳市盐田区沙头角保税区15栋厂房第一层南座及第二层南北座及第三层南北座</w:t>
            </w:r>
            <w:r>
              <w:rPr>
                <w:kern w:val="0"/>
                <w:sz w:val="24"/>
              </w:rPr>
              <w:t>，租赁面积</w:t>
            </w:r>
            <w:r>
              <w:rPr>
                <w:rFonts w:hint="eastAsia"/>
                <w:sz w:val="24"/>
              </w:rPr>
              <w:t>11500平方米，厂区集生产车间、仓库、办公间于一体。其中一楼南为原料仓和纸品加工区，二楼北为布料仓储区，二楼南为布料加工区，三楼北为办公区，三楼南为成品加工区。</w:t>
            </w:r>
          </w:p>
          <w:p>
            <w:pPr>
              <w:spacing w:line="360" w:lineRule="auto"/>
              <w:jc w:val="center"/>
              <w:rPr>
                <w:color w:val="000000"/>
                <w:sz w:val="24"/>
              </w:rPr>
            </w:pPr>
            <w:bookmarkStart w:id="0" w:name="_MON_1506116235"/>
            <w:bookmarkEnd w:id="0"/>
            <w:bookmarkStart w:id="1" w:name="_MON_1506116958"/>
            <w:bookmarkEnd w:id="1"/>
            <w:bookmarkStart w:id="2" w:name="_MON_1520694286"/>
            <w:bookmarkEnd w:id="2"/>
            <w:bookmarkStart w:id="3" w:name="_MON_1506113066"/>
            <w:bookmarkEnd w:id="3"/>
            <w:r>
              <w:rPr>
                <w:color w:val="000000"/>
                <w:sz w:val="24"/>
              </w:rPr>
              <w:object>
                <v:shape id="_x0000_i1025" o:spt="75" type="#_x0000_t75" style="height:237.2pt;width:287.35pt;" o:ole="t" filled="f" o:preferrelative="t" stroked="f" coordsize="21600,21600">
                  <v:path/>
                  <v:fill on="f" focussize="0,0"/>
                  <v:stroke on="f" joinstyle="miter"/>
                  <v:imagedata r:id="rId13" o:title=""/>
                  <o:lock v:ext="edit" aspectratio="t"/>
                  <w10:wrap type="none"/>
                  <w10:anchorlock/>
                </v:shape>
                <o:OLEObject Type="Embed" ProgID="Word.Picture.8" ShapeID="_x0000_i1025" DrawAspect="Content" ObjectID="_1468075725" r:id="rId12">
                  <o:LockedField>false</o:LockedField>
                </o:OLEObject>
              </w:object>
            </w:r>
          </w:p>
          <w:p>
            <w:pPr>
              <w:spacing w:line="360" w:lineRule="auto"/>
              <w:jc w:val="center"/>
              <w:rPr>
                <w:b/>
                <w:szCs w:val="21"/>
              </w:rPr>
            </w:pPr>
            <w:r>
              <w:rPr>
                <w:rFonts w:hint="eastAsia"/>
                <w:b/>
                <w:szCs w:val="21"/>
              </w:rPr>
              <w:t>项目一楼南座车间平面布置图</w:t>
            </w:r>
            <w:bookmarkStart w:id="4" w:name="_MON_1506116970"/>
            <w:bookmarkEnd w:id="4"/>
            <w:bookmarkStart w:id="5" w:name="_MON_1506116412"/>
            <w:bookmarkEnd w:id="5"/>
            <w:bookmarkStart w:id="6" w:name="_MON_1506116853"/>
            <w:bookmarkEnd w:id="6"/>
            <w:r>
              <w:rPr>
                <w:color w:val="000000"/>
                <w:sz w:val="24"/>
              </w:rPr>
              <w:object>
                <v:shape id="_x0000_i1026" o:spt="75" type="#_x0000_t75" style="height:237.2pt;width:287.35pt;" o:ole="t" filled="f" o:preferrelative="t" stroked="f" coordsize="21600,21600">
                  <v:path/>
                  <v:fill on="f" focussize="0,0"/>
                  <v:stroke on="f" joinstyle="miter"/>
                  <v:imagedata r:id="rId15" o:title=""/>
                  <o:lock v:ext="edit" aspectratio="t"/>
                  <w10:wrap type="none"/>
                  <w10:anchorlock/>
                </v:shape>
                <o:OLEObject Type="Embed" ProgID="Word.Picture.8" ShapeID="_x0000_i1026" DrawAspect="Content" ObjectID="_1468075726" r:id="rId14">
                  <o:LockedField>false</o:LockedField>
                </o:OLEObject>
              </w:object>
            </w:r>
          </w:p>
          <w:p>
            <w:pPr>
              <w:spacing w:line="360" w:lineRule="auto"/>
              <w:jc w:val="center"/>
              <w:rPr>
                <w:b/>
                <w:szCs w:val="21"/>
              </w:rPr>
            </w:pPr>
            <w:r>
              <w:rPr>
                <w:rFonts w:hint="eastAsia"/>
                <w:b/>
                <w:szCs w:val="21"/>
              </w:rPr>
              <w:t>项目二楼车间平面布置图</w:t>
            </w:r>
          </w:p>
        </w:tc>
      </w:tr>
    </w:tbl>
    <w:p>
      <w:pPr>
        <w:rPr>
          <w:b/>
          <w:sz w:val="28"/>
        </w:rPr>
      </w:pPr>
      <w:r>
        <w:rPr>
          <w:rFonts w:hint="eastAsia"/>
          <w:b/>
          <w:sz w:val="28"/>
        </w:rPr>
        <w:t>续表一</w:t>
      </w:r>
    </w:p>
    <w:tbl>
      <w:tblPr>
        <w:tblStyle w:val="20"/>
        <w:tblpPr w:leftFromText="180" w:rightFromText="180" w:vertAnchor="text" w:tblpXSpec="center" w:tblpY="1"/>
        <w:tblOverlap w:val="never"/>
        <w:tblW w:w="94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9"/>
        <w:gridCol w:w="76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690" w:hRule="atLeast"/>
        </w:trPr>
        <w:tc>
          <w:tcPr>
            <w:tcW w:w="1769" w:type="dxa"/>
            <w:tcBorders>
              <w:top w:val="single" w:color="auto" w:sz="4" w:space="0"/>
              <w:left w:val="single" w:color="auto" w:sz="8" w:space="0"/>
              <w:bottom w:val="single" w:color="auto" w:sz="4" w:space="0"/>
              <w:right w:val="single" w:color="auto" w:sz="8" w:space="0"/>
            </w:tcBorders>
            <w:vAlign w:val="center"/>
          </w:tcPr>
          <w:p>
            <w:pPr>
              <w:adjustRightInd w:val="0"/>
              <w:snapToGrid w:val="0"/>
              <w:spacing w:line="360" w:lineRule="auto"/>
              <w:jc w:val="center"/>
              <w:rPr>
                <w:bCs/>
                <w:sz w:val="24"/>
              </w:rPr>
            </w:pPr>
            <w:r>
              <w:rPr>
                <w:bCs/>
                <w:sz w:val="24"/>
              </w:rPr>
              <w:t>工程基本情况</w:t>
            </w:r>
          </w:p>
        </w:tc>
        <w:tc>
          <w:tcPr>
            <w:tcW w:w="7658" w:type="dxa"/>
            <w:tcBorders>
              <w:top w:val="single" w:color="auto" w:sz="4" w:space="0"/>
              <w:left w:val="single" w:color="auto" w:sz="8" w:space="0"/>
              <w:bottom w:val="single" w:color="auto" w:sz="4" w:space="0"/>
              <w:right w:val="single" w:color="auto" w:sz="8" w:space="0"/>
            </w:tcBorders>
          </w:tcPr>
          <w:p>
            <w:pPr>
              <w:spacing w:line="360" w:lineRule="auto"/>
              <w:rPr>
                <w:color w:val="000000"/>
                <w:sz w:val="24"/>
              </w:rPr>
            </w:pPr>
          </w:p>
          <w:p>
            <w:pPr>
              <w:spacing w:line="360" w:lineRule="auto"/>
              <w:jc w:val="center"/>
              <w:rPr>
                <w:color w:val="000000"/>
                <w:sz w:val="24"/>
              </w:rPr>
            </w:pPr>
            <w:r>
              <w:rPr>
                <w:color w:val="000000"/>
                <w:sz w:val="24"/>
              </w:rPr>
              <w:object>
                <v:shape id="_x0000_i1027" o:spt="75" type="#_x0000_t75" style="height:257.15pt;width:311.8pt;" o:ole="t" filled="f" o:preferrelative="t" stroked="f" coordsize="21600,21600">
                  <v:path/>
                  <v:fill on="f" focussize="0,0"/>
                  <v:stroke on="f" joinstyle="miter"/>
                  <v:imagedata r:id="rId17" o:title=""/>
                  <o:lock v:ext="edit" aspectratio="t"/>
                  <w10:wrap type="none"/>
                  <w10:anchorlock/>
                </v:shape>
                <o:OLEObject Type="Embed" ProgID="Word.Picture.8" ShapeID="_x0000_i1027" DrawAspect="Content" ObjectID="_1468075727" r:id="rId16">
                  <o:LockedField>false</o:LockedField>
                </o:OLEObject>
              </w:object>
            </w:r>
          </w:p>
          <w:p>
            <w:pPr>
              <w:spacing w:line="360" w:lineRule="auto"/>
              <w:jc w:val="center"/>
              <w:rPr>
                <w:b/>
                <w:szCs w:val="21"/>
              </w:rPr>
            </w:pPr>
            <w:r>
              <w:rPr>
                <w:rFonts w:hint="eastAsia"/>
                <w:b/>
                <w:szCs w:val="21"/>
              </w:rPr>
              <w:t>项目三楼车间平面布置图</w:t>
            </w:r>
          </w:p>
          <w:p>
            <w:pPr>
              <w:adjustRightInd w:val="0"/>
              <w:spacing w:line="360" w:lineRule="auto"/>
              <w:jc w:val="left"/>
              <w:rPr>
                <w:b/>
                <w:sz w:val="24"/>
              </w:rPr>
            </w:pPr>
            <w:r>
              <w:rPr>
                <w:b/>
                <w:sz w:val="24"/>
              </w:rPr>
              <w:t>5、项目主要原、辅材料及年用量</w:t>
            </w:r>
          </w:p>
          <w:p>
            <w:pPr>
              <w:autoSpaceDE w:val="0"/>
              <w:autoSpaceDN w:val="0"/>
              <w:adjustRightInd w:val="0"/>
              <w:spacing w:line="360" w:lineRule="auto"/>
              <w:jc w:val="center"/>
              <w:rPr>
                <w:b/>
                <w:kern w:val="0"/>
                <w:szCs w:val="21"/>
              </w:rPr>
            </w:pPr>
            <w:r>
              <w:rPr>
                <w:rFonts w:hint="eastAsia"/>
                <w:b/>
                <w:kern w:val="0"/>
                <w:szCs w:val="21"/>
              </w:rPr>
              <w:t>主要原辅材料消耗一览表</w:t>
            </w:r>
          </w:p>
          <w:tbl>
            <w:tblPr>
              <w:tblStyle w:val="21"/>
              <w:tblW w:w="7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343"/>
              <w:gridCol w:w="1614"/>
              <w:gridCol w:w="1438"/>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1187" w:type="dxa"/>
                  <w:tcBorders>
                    <w:left w:val="nil"/>
                  </w:tcBorders>
                  <w:vAlign w:val="center"/>
                </w:tcPr>
                <w:p>
                  <w:pPr>
                    <w:autoSpaceDE w:val="0"/>
                    <w:autoSpaceDN w:val="0"/>
                    <w:adjustRightInd w:val="0"/>
                    <w:spacing w:line="360" w:lineRule="auto"/>
                    <w:jc w:val="center"/>
                    <w:rPr>
                      <w:bCs/>
                      <w:szCs w:val="21"/>
                    </w:rPr>
                  </w:pPr>
                  <w:r>
                    <w:rPr>
                      <w:rFonts w:hint="eastAsia"/>
                      <w:bCs/>
                      <w:szCs w:val="21"/>
                    </w:rPr>
                    <w:t>类别</w:t>
                  </w:r>
                </w:p>
              </w:tc>
              <w:tc>
                <w:tcPr>
                  <w:tcW w:w="1343" w:type="dxa"/>
                  <w:vAlign w:val="center"/>
                </w:tcPr>
                <w:p>
                  <w:pPr>
                    <w:autoSpaceDE w:val="0"/>
                    <w:autoSpaceDN w:val="0"/>
                    <w:adjustRightInd w:val="0"/>
                    <w:spacing w:line="360" w:lineRule="auto"/>
                    <w:jc w:val="center"/>
                    <w:rPr>
                      <w:bCs/>
                      <w:szCs w:val="21"/>
                    </w:rPr>
                  </w:pPr>
                  <w:r>
                    <w:rPr>
                      <w:rFonts w:hint="eastAsia"/>
                      <w:bCs/>
                      <w:szCs w:val="21"/>
                    </w:rPr>
                    <w:t>名称</w:t>
                  </w:r>
                </w:p>
              </w:tc>
              <w:tc>
                <w:tcPr>
                  <w:tcW w:w="1614" w:type="dxa"/>
                </w:tcPr>
                <w:p>
                  <w:pPr>
                    <w:autoSpaceDE w:val="0"/>
                    <w:autoSpaceDN w:val="0"/>
                    <w:adjustRightInd w:val="0"/>
                    <w:spacing w:line="360" w:lineRule="auto"/>
                    <w:jc w:val="center"/>
                    <w:rPr>
                      <w:bCs/>
                      <w:szCs w:val="21"/>
                    </w:rPr>
                  </w:pPr>
                  <w:r>
                    <w:rPr>
                      <w:rFonts w:hint="eastAsia"/>
                      <w:bCs/>
                      <w:szCs w:val="21"/>
                    </w:rPr>
                    <w:t>年耗量</w:t>
                  </w:r>
                </w:p>
              </w:tc>
              <w:tc>
                <w:tcPr>
                  <w:tcW w:w="1438" w:type="dxa"/>
                  <w:vAlign w:val="center"/>
                </w:tcPr>
                <w:p>
                  <w:pPr>
                    <w:autoSpaceDE w:val="0"/>
                    <w:autoSpaceDN w:val="0"/>
                    <w:adjustRightInd w:val="0"/>
                    <w:spacing w:line="360" w:lineRule="auto"/>
                    <w:jc w:val="center"/>
                    <w:rPr>
                      <w:bCs/>
                      <w:szCs w:val="21"/>
                    </w:rPr>
                  </w:pPr>
                  <w:r>
                    <w:rPr>
                      <w:rFonts w:hint="eastAsia"/>
                      <w:bCs/>
                      <w:szCs w:val="21"/>
                    </w:rPr>
                    <w:t>属性</w:t>
                  </w:r>
                </w:p>
              </w:tc>
              <w:tc>
                <w:tcPr>
                  <w:tcW w:w="1860" w:type="dxa"/>
                  <w:tcBorders>
                    <w:right w:val="nil"/>
                  </w:tcBorders>
                  <w:vAlign w:val="center"/>
                </w:tcPr>
                <w:p>
                  <w:pPr>
                    <w:autoSpaceDE w:val="0"/>
                    <w:autoSpaceDN w:val="0"/>
                    <w:adjustRightInd w:val="0"/>
                    <w:spacing w:line="360" w:lineRule="auto"/>
                    <w:jc w:val="center"/>
                    <w:rPr>
                      <w:bCs/>
                      <w:szCs w:val="21"/>
                    </w:rPr>
                  </w:pPr>
                  <w:r>
                    <w:rPr>
                      <w:rFonts w:hint="eastAsia"/>
                      <w:bCs/>
                      <w:szCs w:val="21"/>
                    </w:rPr>
                    <w:t>储运方式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87" w:type="dxa"/>
                  <w:vMerge w:val="restart"/>
                  <w:tcBorders>
                    <w:left w:val="nil"/>
                  </w:tcBorders>
                  <w:vAlign w:val="center"/>
                </w:tcPr>
                <w:p>
                  <w:pPr>
                    <w:autoSpaceDE w:val="0"/>
                    <w:autoSpaceDN w:val="0"/>
                    <w:adjustRightInd w:val="0"/>
                    <w:spacing w:line="360" w:lineRule="auto"/>
                    <w:jc w:val="center"/>
                    <w:rPr>
                      <w:bCs/>
                      <w:szCs w:val="21"/>
                    </w:rPr>
                  </w:pPr>
                  <w:r>
                    <w:rPr>
                      <w:rFonts w:hint="eastAsia"/>
                      <w:bCs/>
                      <w:szCs w:val="21"/>
                    </w:rPr>
                    <w:t>原料</w:t>
                  </w:r>
                </w:p>
                <w:p>
                  <w:pPr>
                    <w:autoSpaceDE w:val="0"/>
                    <w:autoSpaceDN w:val="0"/>
                    <w:adjustRightInd w:val="0"/>
                    <w:spacing w:line="360" w:lineRule="auto"/>
                    <w:jc w:val="center"/>
                    <w:rPr>
                      <w:bCs/>
                      <w:szCs w:val="21"/>
                    </w:rPr>
                  </w:pPr>
                </w:p>
              </w:tc>
              <w:tc>
                <w:tcPr>
                  <w:tcW w:w="1343" w:type="dxa"/>
                  <w:vAlign w:val="center"/>
                </w:tcPr>
                <w:p>
                  <w:pPr>
                    <w:jc w:val="center"/>
                  </w:pPr>
                  <w:r>
                    <w:rPr>
                      <w:rFonts w:hint="eastAsia"/>
                    </w:rPr>
                    <w:t>布 料</w:t>
                  </w:r>
                </w:p>
              </w:tc>
              <w:tc>
                <w:tcPr>
                  <w:tcW w:w="1614" w:type="dxa"/>
                  <w:vAlign w:val="center"/>
                </w:tcPr>
                <w:p>
                  <w:pPr>
                    <w:jc w:val="center"/>
                  </w:pPr>
                  <w:r>
                    <w:t>52</w:t>
                  </w:r>
                  <w:r>
                    <w:rPr>
                      <w:rFonts w:hint="eastAsia"/>
                    </w:rPr>
                    <w:t>0吨</w:t>
                  </w:r>
                </w:p>
              </w:tc>
              <w:tc>
                <w:tcPr>
                  <w:tcW w:w="1438" w:type="dxa"/>
                  <w:vMerge w:val="restart"/>
                  <w:vAlign w:val="center"/>
                </w:tcPr>
                <w:p>
                  <w:pPr>
                    <w:autoSpaceDE w:val="0"/>
                    <w:autoSpaceDN w:val="0"/>
                    <w:adjustRightInd w:val="0"/>
                    <w:spacing w:line="360" w:lineRule="auto"/>
                    <w:jc w:val="center"/>
                    <w:rPr>
                      <w:bCs/>
                      <w:szCs w:val="21"/>
                    </w:rPr>
                  </w:pPr>
                  <w:r>
                    <w:t>供应商提供</w:t>
                  </w:r>
                </w:p>
              </w:tc>
              <w:tc>
                <w:tcPr>
                  <w:tcW w:w="1860" w:type="dxa"/>
                  <w:vMerge w:val="restart"/>
                  <w:tcBorders>
                    <w:right w:val="nil"/>
                  </w:tcBorders>
                  <w:vAlign w:val="center"/>
                </w:tcPr>
                <w:p>
                  <w:pPr>
                    <w:autoSpaceDE w:val="0"/>
                    <w:autoSpaceDN w:val="0"/>
                    <w:adjustRightInd w:val="0"/>
                    <w:spacing w:line="360" w:lineRule="auto"/>
                    <w:jc w:val="center"/>
                    <w:rPr>
                      <w:bCs/>
                      <w:szCs w:val="21"/>
                    </w:rPr>
                  </w:pPr>
                  <w:r>
                    <w:t>储存于厂区仓库内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7" w:type="dxa"/>
                  <w:vMerge w:val="continue"/>
                  <w:tcBorders>
                    <w:left w:val="nil"/>
                  </w:tcBorders>
                  <w:vAlign w:val="center"/>
                </w:tcPr>
                <w:p>
                  <w:pPr>
                    <w:autoSpaceDE w:val="0"/>
                    <w:autoSpaceDN w:val="0"/>
                    <w:adjustRightInd w:val="0"/>
                    <w:spacing w:line="360" w:lineRule="auto"/>
                    <w:jc w:val="center"/>
                    <w:rPr>
                      <w:bCs/>
                      <w:szCs w:val="21"/>
                    </w:rPr>
                  </w:pPr>
                </w:p>
              </w:tc>
              <w:tc>
                <w:tcPr>
                  <w:tcW w:w="1343" w:type="dxa"/>
                  <w:vAlign w:val="center"/>
                </w:tcPr>
                <w:p>
                  <w:pPr>
                    <w:jc w:val="center"/>
                    <w:rPr>
                      <w:lang w:val="en-IE"/>
                    </w:rPr>
                  </w:pPr>
                  <w:r>
                    <w:rPr>
                      <w:rFonts w:hint="eastAsia"/>
                    </w:rPr>
                    <w:t>纸 品</w:t>
                  </w:r>
                </w:p>
              </w:tc>
              <w:tc>
                <w:tcPr>
                  <w:tcW w:w="1614" w:type="dxa"/>
                  <w:vAlign w:val="center"/>
                </w:tcPr>
                <w:p>
                  <w:pPr>
                    <w:jc w:val="center"/>
                  </w:pPr>
                  <w:r>
                    <w:t>7</w:t>
                  </w:r>
                  <w:r>
                    <w:rPr>
                      <w:rFonts w:hint="eastAsia"/>
                    </w:rPr>
                    <w:t>0吨</w:t>
                  </w:r>
                </w:p>
              </w:tc>
              <w:tc>
                <w:tcPr>
                  <w:tcW w:w="1438" w:type="dxa"/>
                  <w:vMerge w:val="continue"/>
                  <w:vAlign w:val="center"/>
                </w:tcPr>
                <w:p>
                  <w:pPr>
                    <w:autoSpaceDE w:val="0"/>
                    <w:autoSpaceDN w:val="0"/>
                    <w:adjustRightInd w:val="0"/>
                    <w:spacing w:line="360" w:lineRule="auto"/>
                    <w:jc w:val="center"/>
                    <w:rPr>
                      <w:bCs/>
                      <w:szCs w:val="21"/>
                    </w:rPr>
                  </w:pPr>
                </w:p>
              </w:tc>
              <w:tc>
                <w:tcPr>
                  <w:tcW w:w="1860" w:type="dxa"/>
                  <w:vMerge w:val="continue"/>
                  <w:tcBorders>
                    <w:right w:val="nil"/>
                  </w:tcBorders>
                  <w:vAlign w:val="center"/>
                </w:tcPr>
                <w:p>
                  <w:pPr>
                    <w:autoSpaceDE w:val="0"/>
                    <w:autoSpaceDN w:val="0"/>
                    <w:adjustRightInd w:val="0"/>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7" w:type="dxa"/>
                  <w:vMerge w:val="continue"/>
                  <w:tcBorders>
                    <w:left w:val="nil"/>
                  </w:tcBorders>
                  <w:vAlign w:val="center"/>
                </w:tcPr>
                <w:p>
                  <w:pPr>
                    <w:autoSpaceDE w:val="0"/>
                    <w:autoSpaceDN w:val="0"/>
                    <w:adjustRightInd w:val="0"/>
                    <w:spacing w:line="360" w:lineRule="auto"/>
                    <w:jc w:val="center"/>
                    <w:rPr>
                      <w:bCs/>
                      <w:szCs w:val="21"/>
                    </w:rPr>
                  </w:pPr>
                </w:p>
              </w:tc>
              <w:tc>
                <w:tcPr>
                  <w:tcW w:w="1343" w:type="dxa"/>
                  <w:vAlign w:val="center"/>
                </w:tcPr>
                <w:p>
                  <w:pPr>
                    <w:jc w:val="center"/>
                  </w:pPr>
                  <w:r>
                    <w:rPr>
                      <w:rFonts w:hint="eastAsia"/>
                    </w:rPr>
                    <w:t>白乳胶</w:t>
                  </w:r>
                </w:p>
              </w:tc>
              <w:tc>
                <w:tcPr>
                  <w:tcW w:w="1614" w:type="dxa"/>
                  <w:vAlign w:val="center"/>
                </w:tcPr>
                <w:p>
                  <w:pPr>
                    <w:jc w:val="center"/>
                  </w:pPr>
                  <w:r>
                    <w:rPr>
                      <w:rFonts w:hint="eastAsia"/>
                    </w:rPr>
                    <w:t>5吨</w:t>
                  </w:r>
                </w:p>
              </w:tc>
              <w:tc>
                <w:tcPr>
                  <w:tcW w:w="1438" w:type="dxa"/>
                  <w:vMerge w:val="continue"/>
                  <w:vAlign w:val="center"/>
                </w:tcPr>
                <w:p>
                  <w:pPr>
                    <w:autoSpaceDE w:val="0"/>
                    <w:autoSpaceDN w:val="0"/>
                    <w:adjustRightInd w:val="0"/>
                    <w:spacing w:line="360" w:lineRule="auto"/>
                    <w:jc w:val="center"/>
                    <w:rPr>
                      <w:bCs/>
                      <w:szCs w:val="21"/>
                    </w:rPr>
                  </w:pPr>
                </w:p>
              </w:tc>
              <w:tc>
                <w:tcPr>
                  <w:tcW w:w="1860" w:type="dxa"/>
                  <w:vMerge w:val="continue"/>
                  <w:tcBorders>
                    <w:right w:val="nil"/>
                  </w:tcBorders>
                  <w:vAlign w:val="center"/>
                </w:tcPr>
                <w:p>
                  <w:pPr>
                    <w:autoSpaceDE w:val="0"/>
                    <w:autoSpaceDN w:val="0"/>
                    <w:adjustRightInd w:val="0"/>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7" w:type="dxa"/>
                  <w:vMerge w:val="continue"/>
                  <w:tcBorders>
                    <w:left w:val="nil"/>
                  </w:tcBorders>
                  <w:vAlign w:val="center"/>
                </w:tcPr>
                <w:p>
                  <w:pPr>
                    <w:autoSpaceDE w:val="0"/>
                    <w:autoSpaceDN w:val="0"/>
                    <w:adjustRightInd w:val="0"/>
                    <w:spacing w:line="360" w:lineRule="auto"/>
                    <w:jc w:val="center"/>
                    <w:rPr>
                      <w:bCs/>
                      <w:szCs w:val="21"/>
                    </w:rPr>
                  </w:pPr>
                </w:p>
              </w:tc>
              <w:tc>
                <w:tcPr>
                  <w:tcW w:w="1343" w:type="dxa"/>
                  <w:vAlign w:val="center"/>
                </w:tcPr>
                <w:p>
                  <w:pPr>
                    <w:jc w:val="center"/>
                    <w:rPr>
                      <w:sz w:val="18"/>
                      <w:szCs w:val="18"/>
                    </w:rPr>
                  </w:pPr>
                  <w:r>
                    <w:rPr>
                      <w:rFonts w:hint="eastAsia"/>
                    </w:rPr>
                    <w:t>热熔胶</w:t>
                  </w:r>
                </w:p>
              </w:tc>
              <w:tc>
                <w:tcPr>
                  <w:tcW w:w="1614" w:type="dxa"/>
                  <w:vAlign w:val="center"/>
                </w:tcPr>
                <w:p>
                  <w:pPr>
                    <w:jc w:val="center"/>
                  </w:pPr>
                  <w:r>
                    <w:rPr>
                      <w:rFonts w:hint="eastAsia"/>
                    </w:rPr>
                    <w:t>4吨</w:t>
                  </w:r>
                </w:p>
              </w:tc>
              <w:tc>
                <w:tcPr>
                  <w:tcW w:w="1438" w:type="dxa"/>
                  <w:vMerge w:val="continue"/>
                  <w:vAlign w:val="center"/>
                </w:tcPr>
                <w:p>
                  <w:pPr>
                    <w:autoSpaceDE w:val="0"/>
                    <w:autoSpaceDN w:val="0"/>
                    <w:adjustRightInd w:val="0"/>
                    <w:spacing w:line="360" w:lineRule="auto"/>
                    <w:jc w:val="center"/>
                    <w:rPr>
                      <w:bCs/>
                      <w:szCs w:val="21"/>
                    </w:rPr>
                  </w:pPr>
                </w:p>
              </w:tc>
              <w:tc>
                <w:tcPr>
                  <w:tcW w:w="1860" w:type="dxa"/>
                  <w:vMerge w:val="continue"/>
                  <w:tcBorders>
                    <w:right w:val="nil"/>
                  </w:tcBorders>
                  <w:vAlign w:val="center"/>
                </w:tcPr>
                <w:p>
                  <w:pPr>
                    <w:autoSpaceDE w:val="0"/>
                    <w:autoSpaceDN w:val="0"/>
                    <w:adjustRightInd w:val="0"/>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187" w:type="dxa"/>
                  <w:vMerge w:val="continue"/>
                  <w:tcBorders>
                    <w:left w:val="nil"/>
                  </w:tcBorders>
                  <w:vAlign w:val="center"/>
                </w:tcPr>
                <w:p>
                  <w:pPr>
                    <w:autoSpaceDE w:val="0"/>
                    <w:autoSpaceDN w:val="0"/>
                    <w:adjustRightInd w:val="0"/>
                    <w:spacing w:line="360" w:lineRule="auto"/>
                    <w:jc w:val="center"/>
                    <w:rPr>
                      <w:bCs/>
                      <w:szCs w:val="21"/>
                    </w:rPr>
                  </w:pPr>
                </w:p>
              </w:tc>
              <w:tc>
                <w:tcPr>
                  <w:tcW w:w="1343" w:type="dxa"/>
                  <w:vAlign w:val="center"/>
                </w:tcPr>
                <w:p>
                  <w:pPr>
                    <w:jc w:val="center"/>
                  </w:pPr>
                  <w:r>
                    <w:rPr>
                      <w:rFonts w:hint="eastAsia"/>
                    </w:rPr>
                    <w:t>五金配件</w:t>
                  </w:r>
                </w:p>
              </w:tc>
              <w:tc>
                <w:tcPr>
                  <w:tcW w:w="1614" w:type="dxa"/>
                  <w:vAlign w:val="center"/>
                </w:tcPr>
                <w:p>
                  <w:pPr>
                    <w:jc w:val="center"/>
                  </w:pPr>
                  <w:r>
                    <w:rPr>
                      <w:rFonts w:hint="eastAsia"/>
                    </w:rPr>
                    <w:t>300万套</w:t>
                  </w:r>
                </w:p>
              </w:tc>
              <w:tc>
                <w:tcPr>
                  <w:tcW w:w="1438" w:type="dxa"/>
                  <w:vMerge w:val="continue"/>
                  <w:vAlign w:val="center"/>
                </w:tcPr>
                <w:p>
                  <w:pPr>
                    <w:autoSpaceDE w:val="0"/>
                    <w:autoSpaceDN w:val="0"/>
                    <w:adjustRightInd w:val="0"/>
                    <w:spacing w:line="360" w:lineRule="auto"/>
                    <w:jc w:val="center"/>
                    <w:rPr>
                      <w:bCs/>
                      <w:szCs w:val="21"/>
                    </w:rPr>
                  </w:pPr>
                </w:p>
              </w:tc>
              <w:tc>
                <w:tcPr>
                  <w:tcW w:w="1860" w:type="dxa"/>
                  <w:vMerge w:val="continue"/>
                  <w:tcBorders>
                    <w:right w:val="nil"/>
                  </w:tcBorders>
                  <w:vAlign w:val="center"/>
                </w:tcPr>
                <w:p>
                  <w:pPr>
                    <w:autoSpaceDE w:val="0"/>
                    <w:autoSpaceDN w:val="0"/>
                    <w:adjustRightInd w:val="0"/>
                    <w:spacing w:line="360" w:lineRule="auto"/>
                    <w:jc w:val="center"/>
                    <w:rPr>
                      <w:bCs/>
                      <w:szCs w:val="21"/>
                    </w:rPr>
                  </w:pPr>
                </w:p>
              </w:tc>
            </w:tr>
          </w:tbl>
          <w:p>
            <w:pPr>
              <w:autoSpaceDE w:val="0"/>
              <w:autoSpaceDN w:val="0"/>
              <w:adjustRightInd w:val="0"/>
              <w:spacing w:line="360" w:lineRule="auto"/>
              <w:jc w:val="center"/>
              <w:rPr>
                <w:b/>
                <w:kern w:val="0"/>
                <w:szCs w:val="21"/>
              </w:rPr>
            </w:pPr>
            <w:r>
              <w:rPr>
                <w:rFonts w:hint="eastAsia"/>
                <w:b/>
                <w:kern w:val="0"/>
                <w:szCs w:val="21"/>
              </w:rPr>
              <w:t>主要能源以及资源消耗一览表</w:t>
            </w:r>
          </w:p>
          <w:tbl>
            <w:tblPr>
              <w:tblStyle w:val="20"/>
              <w:tblW w:w="742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4"/>
              <w:gridCol w:w="845"/>
              <w:gridCol w:w="754"/>
              <w:gridCol w:w="1273"/>
              <w:gridCol w:w="1483"/>
              <w:gridCol w:w="1134"/>
              <w:gridCol w:w="10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66" w:hRule="atLeast"/>
                <w:jc w:val="center"/>
              </w:trPr>
              <w:tc>
                <w:tcPr>
                  <w:tcW w:w="844" w:type="dxa"/>
                  <w:vAlign w:val="center"/>
                </w:tcPr>
                <w:p>
                  <w:pPr>
                    <w:jc w:val="center"/>
                    <w:rPr>
                      <w:b/>
                    </w:rPr>
                  </w:pPr>
                  <w:r>
                    <w:rPr>
                      <w:b/>
                    </w:rPr>
                    <w:t>类别</w:t>
                  </w:r>
                </w:p>
              </w:tc>
              <w:tc>
                <w:tcPr>
                  <w:tcW w:w="845" w:type="dxa"/>
                  <w:vAlign w:val="center"/>
                </w:tcPr>
                <w:p>
                  <w:pPr>
                    <w:jc w:val="center"/>
                    <w:rPr>
                      <w:b/>
                    </w:rPr>
                  </w:pPr>
                  <w:r>
                    <w:rPr>
                      <w:b/>
                    </w:rPr>
                    <w:t>名称</w:t>
                  </w:r>
                </w:p>
              </w:tc>
              <w:tc>
                <w:tcPr>
                  <w:tcW w:w="754" w:type="dxa"/>
                  <w:tcBorders>
                    <w:bottom w:val="single" w:color="auto" w:sz="4" w:space="0"/>
                  </w:tcBorders>
                  <w:vAlign w:val="center"/>
                </w:tcPr>
                <w:p>
                  <w:pPr>
                    <w:jc w:val="center"/>
                    <w:rPr>
                      <w:b/>
                    </w:rPr>
                  </w:pPr>
                  <w:r>
                    <w:rPr>
                      <w:b/>
                    </w:rPr>
                    <w:t>规格</w:t>
                  </w:r>
                </w:p>
              </w:tc>
              <w:tc>
                <w:tcPr>
                  <w:tcW w:w="1273" w:type="dxa"/>
                  <w:tcBorders>
                    <w:bottom w:val="single" w:color="auto" w:sz="4" w:space="0"/>
                  </w:tcBorders>
                  <w:vAlign w:val="center"/>
                </w:tcPr>
                <w:p>
                  <w:pPr>
                    <w:jc w:val="center"/>
                    <w:rPr>
                      <w:b/>
                    </w:rPr>
                  </w:pPr>
                  <w:r>
                    <w:rPr>
                      <w:b/>
                    </w:rPr>
                    <w:t>单耗</w:t>
                  </w:r>
                </w:p>
              </w:tc>
              <w:tc>
                <w:tcPr>
                  <w:tcW w:w="1483" w:type="dxa"/>
                  <w:tcBorders>
                    <w:bottom w:val="single" w:color="auto" w:sz="4" w:space="0"/>
                  </w:tcBorders>
                  <w:vAlign w:val="center"/>
                </w:tcPr>
                <w:p>
                  <w:pPr>
                    <w:jc w:val="center"/>
                    <w:rPr>
                      <w:b/>
                    </w:rPr>
                  </w:pPr>
                  <w:r>
                    <w:rPr>
                      <w:b/>
                    </w:rPr>
                    <w:t>年耗量</w:t>
                  </w:r>
                </w:p>
              </w:tc>
              <w:tc>
                <w:tcPr>
                  <w:tcW w:w="1134" w:type="dxa"/>
                  <w:tcBorders>
                    <w:bottom w:val="single" w:color="auto" w:sz="4" w:space="0"/>
                  </w:tcBorders>
                  <w:vAlign w:val="center"/>
                </w:tcPr>
                <w:p>
                  <w:pPr>
                    <w:jc w:val="center"/>
                    <w:rPr>
                      <w:b/>
                    </w:rPr>
                  </w:pPr>
                  <w:r>
                    <w:rPr>
                      <w:b/>
                    </w:rPr>
                    <w:t>来源</w:t>
                  </w:r>
                </w:p>
              </w:tc>
              <w:tc>
                <w:tcPr>
                  <w:tcW w:w="1093" w:type="dxa"/>
                  <w:tcBorders>
                    <w:bottom w:val="single" w:color="auto" w:sz="4" w:space="0"/>
                  </w:tcBorders>
                  <w:vAlign w:val="center"/>
                </w:tcPr>
                <w:p>
                  <w:pPr>
                    <w:jc w:val="center"/>
                    <w:rPr>
                      <w:b/>
                    </w:rPr>
                  </w:pPr>
                  <w:r>
                    <w:rPr>
                      <w:b/>
                    </w:rPr>
                    <w:t>储运方式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cantSplit/>
                <w:trHeight w:val="66" w:hRule="atLeast"/>
                <w:jc w:val="center"/>
              </w:trPr>
              <w:tc>
                <w:tcPr>
                  <w:tcW w:w="1689" w:type="dxa"/>
                  <w:gridSpan w:val="2"/>
                  <w:vAlign w:val="center"/>
                </w:tcPr>
                <w:p>
                  <w:pPr>
                    <w:jc w:val="center"/>
                  </w:pPr>
                  <w:r>
                    <w:t>水</w:t>
                  </w:r>
                </w:p>
              </w:tc>
              <w:tc>
                <w:tcPr>
                  <w:tcW w:w="754" w:type="dxa"/>
                  <w:vAlign w:val="center"/>
                </w:tcPr>
                <w:p>
                  <w:pPr>
                    <w:jc w:val="center"/>
                  </w:pPr>
                  <w:r>
                    <w:t>——</w:t>
                  </w:r>
                </w:p>
              </w:tc>
              <w:tc>
                <w:tcPr>
                  <w:tcW w:w="1273" w:type="dxa"/>
                </w:tcPr>
                <w:p>
                  <w:pPr>
                    <w:jc w:val="center"/>
                  </w:pPr>
                  <w:r>
                    <w:rPr>
                      <w:rFonts w:hint="eastAsia"/>
                    </w:rPr>
                    <w:t>——</w:t>
                  </w:r>
                </w:p>
              </w:tc>
              <w:tc>
                <w:tcPr>
                  <w:tcW w:w="1483" w:type="dxa"/>
                </w:tcPr>
                <w:p>
                  <w:pPr>
                    <w:jc w:val="center"/>
                  </w:pPr>
                  <w:r>
                    <w:rPr>
                      <w:rFonts w:hint="eastAsia"/>
                    </w:rPr>
                    <w:t>5280吨</w:t>
                  </w:r>
                </w:p>
              </w:tc>
              <w:tc>
                <w:tcPr>
                  <w:tcW w:w="1134" w:type="dxa"/>
                  <w:vMerge w:val="restart"/>
                  <w:vAlign w:val="center"/>
                </w:tcPr>
                <w:p>
                  <w:pPr>
                    <w:jc w:val="center"/>
                  </w:pPr>
                  <w:r>
                    <w:t>市政供给</w:t>
                  </w:r>
                </w:p>
              </w:tc>
              <w:tc>
                <w:tcPr>
                  <w:tcW w:w="1093" w:type="dxa"/>
                  <w:vMerge w:val="restart"/>
                  <w:vAlign w:val="center"/>
                </w:tcPr>
                <w:p>
                  <w:pPr>
                    <w:jc w:val="center"/>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66" w:hRule="atLeast"/>
                <w:jc w:val="center"/>
              </w:trPr>
              <w:tc>
                <w:tcPr>
                  <w:tcW w:w="1689" w:type="dxa"/>
                  <w:gridSpan w:val="2"/>
                  <w:vAlign w:val="center"/>
                </w:tcPr>
                <w:p>
                  <w:pPr>
                    <w:jc w:val="center"/>
                  </w:pPr>
                  <w:r>
                    <w:t>电</w:t>
                  </w:r>
                </w:p>
              </w:tc>
              <w:tc>
                <w:tcPr>
                  <w:tcW w:w="754" w:type="dxa"/>
                  <w:vAlign w:val="center"/>
                </w:tcPr>
                <w:p>
                  <w:pPr>
                    <w:jc w:val="center"/>
                  </w:pPr>
                  <w:r>
                    <w:t>——</w:t>
                  </w:r>
                </w:p>
              </w:tc>
              <w:tc>
                <w:tcPr>
                  <w:tcW w:w="1273" w:type="dxa"/>
                </w:tcPr>
                <w:p>
                  <w:pPr>
                    <w:jc w:val="center"/>
                  </w:pPr>
                  <w:r>
                    <w:rPr>
                      <w:rFonts w:hint="eastAsia"/>
                    </w:rPr>
                    <w:t>——</w:t>
                  </w:r>
                </w:p>
              </w:tc>
              <w:tc>
                <w:tcPr>
                  <w:tcW w:w="1483" w:type="dxa"/>
                </w:tcPr>
                <w:p>
                  <w:pPr>
                    <w:jc w:val="center"/>
                  </w:pPr>
                  <w:r>
                    <w:rPr>
                      <w:rFonts w:hint="eastAsia"/>
                    </w:rPr>
                    <w:t>4000</w:t>
                  </w:r>
                  <w:r>
                    <w:t>0度</w:t>
                  </w:r>
                </w:p>
              </w:tc>
              <w:tc>
                <w:tcPr>
                  <w:tcW w:w="1134" w:type="dxa"/>
                  <w:vMerge w:val="continue"/>
                  <w:vAlign w:val="center"/>
                </w:tcPr>
                <w:p/>
              </w:tc>
              <w:tc>
                <w:tcPr>
                  <w:tcW w:w="1093" w:type="dxa"/>
                  <w:vMerge w:val="continue"/>
                  <w:vAlign w:val="center"/>
                </w:tcPr>
                <w:p/>
              </w:tc>
            </w:tr>
          </w:tbl>
          <w:p>
            <w:pPr>
              <w:autoSpaceDE w:val="0"/>
              <w:autoSpaceDN w:val="0"/>
              <w:adjustRightInd w:val="0"/>
              <w:spacing w:line="360" w:lineRule="auto"/>
              <w:jc w:val="center"/>
              <w:rPr>
                <w:b/>
                <w:kern w:val="0"/>
                <w:szCs w:val="21"/>
              </w:rPr>
            </w:pPr>
          </w:p>
          <w:p>
            <w:pPr>
              <w:autoSpaceDE w:val="0"/>
              <w:autoSpaceDN w:val="0"/>
              <w:adjustRightInd w:val="0"/>
              <w:spacing w:line="360" w:lineRule="auto"/>
              <w:jc w:val="center"/>
              <w:rPr>
                <w:b/>
                <w:kern w:val="0"/>
                <w:szCs w:val="21"/>
              </w:rPr>
            </w:pPr>
          </w:p>
          <w:p>
            <w:pPr>
              <w:autoSpaceDE w:val="0"/>
              <w:autoSpaceDN w:val="0"/>
              <w:adjustRightInd w:val="0"/>
              <w:spacing w:line="360" w:lineRule="auto"/>
              <w:jc w:val="center"/>
              <w:rPr>
                <w:b/>
                <w:kern w:val="0"/>
                <w:szCs w:val="21"/>
              </w:rPr>
            </w:pPr>
          </w:p>
          <w:p>
            <w:pPr>
              <w:autoSpaceDE w:val="0"/>
              <w:autoSpaceDN w:val="0"/>
              <w:adjustRightInd w:val="0"/>
              <w:spacing w:line="360" w:lineRule="auto"/>
              <w:jc w:val="center"/>
              <w:rPr>
                <w:b/>
                <w:kern w:val="0"/>
                <w:szCs w:val="21"/>
              </w:rPr>
            </w:pPr>
          </w:p>
          <w:p>
            <w:pPr>
              <w:autoSpaceDE w:val="0"/>
              <w:autoSpaceDN w:val="0"/>
              <w:adjustRightInd w:val="0"/>
              <w:spacing w:line="360" w:lineRule="auto"/>
              <w:jc w:val="center"/>
              <w:rPr>
                <w:b/>
                <w:kern w:val="0"/>
                <w:szCs w:val="21"/>
              </w:rPr>
            </w:pPr>
          </w:p>
          <w:p>
            <w:pPr>
              <w:autoSpaceDE w:val="0"/>
              <w:autoSpaceDN w:val="0"/>
              <w:adjustRightInd w:val="0"/>
              <w:jc w:val="left"/>
              <w:rPr>
                <w:sz w:val="24"/>
              </w:rPr>
            </w:pPr>
          </w:p>
        </w:tc>
      </w:tr>
    </w:tbl>
    <w:p>
      <w:pPr>
        <w:rPr>
          <w:b/>
          <w:sz w:val="28"/>
        </w:rPr>
      </w:pPr>
      <w:r>
        <w:rPr>
          <w:rFonts w:hint="eastAsia"/>
          <w:b/>
          <w:sz w:val="28"/>
        </w:rPr>
        <w:t>续表一</w:t>
      </w:r>
    </w:p>
    <w:tbl>
      <w:tblPr>
        <w:tblStyle w:val="20"/>
        <w:tblpPr w:leftFromText="180" w:rightFromText="180" w:vertAnchor="text" w:tblpXSpec="center" w:tblpY="1"/>
        <w:tblOverlap w:val="never"/>
        <w:tblW w:w="94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22"/>
        <w:gridCol w:w="74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690" w:hRule="atLeast"/>
        </w:trPr>
        <w:tc>
          <w:tcPr>
            <w:tcW w:w="2022" w:type="dxa"/>
            <w:tcBorders>
              <w:top w:val="single" w:color="auto" w:sz="4" w:space="0"/>
              <w:left w:val="single" w:color="auto" w:sz="8" w:space="0"/>
              <w:bottom w:val="single" w:color="auto" w:sz="4" w:space="0"/>
              <w:right w:val="single" w:color="auto" w:sz="8" w:space="0"/>
            </w:tcBorders>
            <w:vAlign w:val="center"/>
          </w:tcPr>
          <w:p>
            <w:pPr>
              <w:adjustRightInd w:val="0"/>
              <w:snapToGrid w:val="0"/>
              <w:spacing w:line="360" w:lineRule="auto"/>
              <w:jc w:val="center"/>
              <w:rPr>
                <w:bCs/>
                <w:sz w:val="24"/>
              </w:rPr>
            </w:pPr>
            <w:r>
              <w:rPr>
                <w:bCs/>
                <w:sz w:val="24"/>
              </w:rPr>
              <w:t>工程基本情况</w:t>
            </w:r>
          </w:p>
        </w:tc>
        <w:tc>
          <w:tcPr>
            <w:tcW w:w="7405" w:type="dxa"/>
            <w:tcBorders>
              <w:top w:val="single" w:color="auto" w:sz="4" w:space="0"/>
              <w:left w:val="single" w:color="auto" w:sz="8" w:space="0"/>
              <w:bottom w:val="single" w:color="auto" w:sz="4" w:space="0"/>
              <w:right w:val="single" w:color="auto" w:sz="8" w:space="0"/>
            </w:tcBorders>
          </w:tcPr>
          <w:p>
            <w:pPr>
              <w:autoSpaceDE w:val="0"/>
              <w:autoSpaceDN w:val="0"/>
              <w:adjustRightInd w:val="0"/>
              <w:spacing w:line="360" w:lineRule="auto"/>
              <w:jc w:val="left"/>
              <w:rPr>
                <w:b/>
                <w:kern w:val="0"/>
                <w:sz w:val="24"/>
              </w:rPr>
            </w:pPr>
            <w:r>
              <w:rPr>
                <w:b/>
                <w:kern w:val="0"/>
                <w:sz w:val="24"/>
              </w:rPr>
              <w:t>6、项目主要生产设备</w:t>
            </w:r>
          </w:p>
          <w:p>
            <w:pPr>
              <w:autoSpaceDE w:val="0"/>
              <w:autoSpaceDN w:val="0"/>
              <w:adjustRightInd w:val="0"/>
              <w:spacing w:line="360" w:lineRule="auto"/>
              <w:jc w:val="center"/>
              <w:rPr>
                <w:b/>
                <w:kern w:val="0"/>
                <w:szCs w:val="21"/>
              </w:rPr>
            </w:pPr>
            <w:r>
              <w:rPr>
                <w:rFonts w:hint="eastAsia"/>
                <w:b/>
                <w:kern w:val="0"/>
                <w:szCs w:val="21"/>
              </w:rPr>
              <w:t>主要设备</w:t>
            </w:r>
          </w:p>
          <w:tbl>
            <w:tblPr>
              <w:tblStyle w:val="20"/>
              <w:tblW w:w="71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699"/>
              <w:gridCol w:w="1570"/>
              <w:gridCol w:w="1892"/>
              <w:gridCol w:w="1335"/>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Align w:val="center"/>
                </w:tcPr>
                <w:p>
                  <w:pPr>
                    <w:jc w:val="center"/>
                    <w:rPr>
                      <w:b/>
                      <w:szCs w:val="21"/>
                    </w:rPr>
                  </w:pPr>
                  <w:r>
                    <w:rPr>
                      <w:b/>
                      <w:szCs w:val="21"/>
                    </w:rPr>
                    <w:t>类型</w:t>
                  </w:r>
                </w:p>
              </w:tc>
              <w:tc>
                <w:tcPr>
                  <w:tcW w:w="699" w:type="dxa"/>
                  <w:vAlign w:val="center"/>
                </w:tcPr>
                <w:p>
                  <w:pPr>
                    <w:jc w:val="center"/>
                    <w:rPr>
                      <w:b/>
                      <w:szCs w:val="21"/>
                    </w:rPr>
                  </w:pPr>
                  <w:r>
                    <w:rPr>
                      <w:b/>
                      <w:szCs w:val="21"/>
                    </w:rPr>
                    <w:t>序号</w:t>
                  </w:r>
                </w:p>
              </w:tc>
              <w:tc>
                <w:tcPr>
                  <w:tcW w:w="1570" w:type="dxa"/>
                  <w:vAlign w:val="center"/>
                </w:tcPr>
                <w:p>
                  <w:pPr>
                    <w:jc w:val="center"/>
                    <w:rPr>
                      <w:b/>
                      <w:szCs w:val="21"/>
                    </w:rPr>
                  </w:pPr>
                  <w:r>
                    <w:rPr>
                      <w:b/>
                      <w:szCs w:val="21"/>
                    </w:rPr>
                    <w:t>名</w:t>
                  </w:r>
                  <w:r>
                    <w:rPr>
                      <w:rFonts w:hint="eastAsia"/>
                      <w:b/>
                      <w:szCs w:val="21"/>
                    </w:rPr>
                    <w:t xml:space="preserve"> </w:t>
                  </w:r>
                  <w:r>
                    <w:rPr>
                      <w:b/>
                      <w:szCs w:val="21"/>
                    </w:rPr>
                    <w:t>称</w:t>
                  </w:r>
                </w:p>
              </w:tc>
              <w:tc>
                <w:tcPr>
                  <w:tcW w:w="1892" w:type="dxa"/>
                  <w:vAlign w:val="center"/>
                </w:tcPr>
                <w:p>
                  <w:pPr>
                    <w:jc w:val="center"/>
                    <w:rPr>
                      <w:b/>
                      <w:szCs w:val="21"/>
                    </w:rPr>
                  </w:pPr>
                  <w:r>
                    <w:rPr>
                      <w:b/>
                      <w:szCs w:val="21"/>
                    </w:rPr>
                    <w:t>型</w:t>
                  </w:r>
                  <w:r>
                    <w:rPr>
                      <w:rFonts w:hint="eastAsia"/>
                      <w:b/>
                      <w:szCs w:val="21"/>
                    </w:rPr>
                    <w:t xml:space="preserve"> </w:t>
                  </w:r>
                  <w:r>
                    <w:rPr>
                      <w:b/>
                      <w:szCs w:val="21"/>
                    </w:rPr>
                    <w:t>号</w:t>
                  </w:r>
                </w:p>
              </w:tc>
              <w:tc>
                <w:tcPr>
                  <w:tcW w:w="1335" w:type="dxa"/>
                  <w:vAlign w:val="center"/>
                </w:tcPr>
                <w:p>
                  <w:pPr>
                    <w:jc w:val="center"/>
                    <w:rPr>
                      <w:b/>
                      <w:szCs w:val="21"/>
                    </w:rPr>
                  </w:pPr>
                  <w:r>
                    <w:rPr>
                      <w:rFonts w:hint="eastAsia"/>
                      <w:b/>
                      <w:szCs w:val="21"/>
                    </w:rPr>
                    <w:t>环评</w:t>
                  </w:r>
                  <w:r>
                    <w:rPr>
                      <w:b/>
                      <w:szCs w:val="21"/>
                    </w:rPr>
                    <w:t>数量（单位）</w:t>
                  </w:r>
                </w:p>
              </w:tc>
              <w:tc>
                <w:tcPr>
                  <w:tcW w:w="1019" w:type="dxa"/>
                  <w:vAlign w:val="center"/>
                </w:tcPr>
                <w:p>
                  <w:pPr>
                    <w:jc w:val="center"/>
                    <w:rPr>
                      <w:b/>
                      <w:szCs w:val="21"/>
                    </w:rPr>
                  </w:pPr>
                  <w:r>
                    <w:rPr>
                      <w:rFonts w:hint="eastAsia"/>
                      <w:b/>
                      <w:szCs w:val="21"/>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664" w:type="dxa"/>
                  <w:vMerge w:val="restart"/>
                  <w:vAlign w:val="center"/>
                </w:tcPr>
                <w:p>
                  <w:pPr>
                    <w:jc w:val="center"/>
                    <w:rPr>
                      <w:szCs w:val="21"/>
                    </w:rPr>
                  </w:pPr>
                </w:p>
                <w:p>
                  <w:pPr>
                    <w:jc w:val="center"/>
                    <w:rPr>
                      <w:szCs w:val="21"/>
                    </w:rPr>
                  </w:pPr>
                  <w:r>
                    <w:rPr>
                      <w:szCs w:val="21"/>
                    </w:rPr>
                    <w:t>生产</w:t>
                  </w:r>
                </w:p>
              </w:tc>
              <w:tc>
                <w:tcPr>
                  <w:tcW w:w="699" w:type="dxa"/>
                  <w:vAlign w:val="center"/>
                </w:tcPr>
                <w:p>
                  <w:pPr>
                    <w:jc w:val="center"/>
                  </w:pPr>
                  <w:r>
                    <w:t>1</w:t>
                  </w:r>
                </w:p>
              </w:tc>
              <w:tc>
                <w:tcPr>
                  <w:tcW w:w="1570" w:type="dxa"/>
                </w:tcPr>
                <w:p>
                  <w:pPr>
                    <w:pStyle w:val="46"/>
                    <w:jc w:val="center"/>
                    <w:rPr>
                      <w:rFonts w:ascii="Times New Roman"/>
                      <w:bCs/>
                      <w:sz w:val="21"/>
                      <w:szCs w:val="21"/>
                    </w:rPr>
                  </w:pPr>
                  <w:r>
                    <w:rPr>
                      <w:rFonts w:hint="eastAsia" w:ascii="Times New Roman"/>
                      <w:sz w:val="21"/>
                      <w:szCs w:val="21"/>
                    </w:rPr>
                    <w:t>压痕机</w:t>
                  </w:r>
                </w:p>
              </w:tc>
              <w:tc>
                <w:tcPr>
                  <w:tcW w:w="1892" w:type="dxa"/>
                </w:tcPr>
                <w:p>
                  <w:pPr>
                    <w:jc w:val="center"/>
                  </w:pPr>
                  <w:r>
                    <w:rPr>
                      <w:szCs w:val="21"/>
                    </w:rPr>
                    <w:t>——</w:t>
                  </w:r>
                </w:p>
              </w:tc>
              <w:tc>
                <w:tcPr>
                  <w:tcW w:w="1335" w:type="dxa"/>
                  <w:vAlign w:val="center"/>
                </w:tcPr>
                <w:p>
                  <w:pPr>
                    <w:jc w:val="center"/>
                    <w:rPr>
                      <w:bCs/>
                      <w:szCs w:val="21"/>
                    </w:rPr>
                  </w:pPr>
                  <w:r>
                    <w:rPr>
                      <w:rFonts w:hint="eastAsia"/>
                      <w:bCs/>
                      <w:szCs w:val="21"/>
                    </w:rPr>
                    <w:t>4台</w:t>
                  </w:r>
                </w:p>
              </w:tc>
              <w:tc>
                <w:tcPr>
                  <w:tcW w:w="1019" w:type="dxa"/>
                  <w:vAlign w:val="center"/>
                </w:tcPr>
                <w:p>
                  <w:pPr>
                    <w:jc w:val="center"/>
                    <w:rPr>
                      <w:bCs/>
                      <w:szCs w:val="21"/>
                    </w:rPr>
                  </w:pPr>
                  <w:r>
                    <w:rPr>
                      <w:rFonts w:hint="eastAsia"/>
                      <w:bCs/>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jc w:val="center"/>
              </w:trPr>
              <w:tc>
                <w:tcPr>
                  <w:tcW w:w="664" w:type="dxa"/>
                  <w:vMerge w:val="continue"/>
                  <w:vAlign w:val="center"/>
                </w:tcPr>
                <w:p>
                  <w:pPr>
                    <w:jc w:val="center"/>
                    <w:rPr>
                      <w:szCs w:val="21"/>
                    </w:rPr>
                  </w:pPr>
                </w:p>
              </w:tc>
              <w:tc>
                <w:tcPr>
                  <w:tcW w:w="699" w:type="dxa"/>
                  <w:vAlign w:val="center"/>
                </w:tcPr>
                <w:p>
                  <w:pPr>
                    <w:jc w:val="center"/>
                  </w:pPr>
                  <w:r>
                    <w:t>2</w:t>
                  </w:r>
                </w:p>
              </w:tc>
              <w:tc>
                <w:tcPr>
                  <w:tcW w:w="1570" w:type="dxa"/>
                </w:tcPr>
                <w:p>
                  <w:pPr>
                    <w:pStyle w:val="46"/>
                    <w:jc w:val="center"/>
                    <w:rPr>
                      <w:rFonts w:ascii="Times New Roman"/>
                      <w:bCs/>
                      <w:sz w:val="21"/>
                      <w:szCs w:val="21"/>
                    </w:rPr>
                  </w:pPr>
                  <w:r>
                    <w:rPr>
                      <w:rFonts w:hint="eastAsia" w:ascii="Times New Roman"/>
                      <w:sz w:val="21"/>
                      <w:szCs w:val="21"/>
                    </w:rPr>
                    <w:t>开槽机</w:t>
                  </w:r>
                </w:p>
              </w:tc>
              <w:tc>
                <w:tcPr>
                  <w:tcW w:w="1892" w:type="dxa"/>
                </w:tcPr>
                <w:p>
                  <w:pPr>
                    <w:jc w:val="center"/>
                  </w:pPr>
                  <w:r>
                    <w:rPr>
                      <w:szCs w:val="21"/>
                    </w:rPr>
                    <w:t>——</w:t>
                  </w:r>
                </w:p>
              </w:tc>
              <w:tc>
                <w:tcPr>
                  <w:tcW w:w="1335" w:type="dxa"/>
                  <w:vAlign w:val="center"/>
                </w:tcPr>
                <w:p>
                  <w:pPr>
                    <w:jc w:val="center"/>
                    <w:rPr>
                      <w:bCs/>
                      <w:szCs w:val="21"/>
                    </w:rPr>
                  </w:pPr>
                  <w:r>
                    <w:rPr>
                      <w:rFonts w:hint="eastAsia"/>
                      <w:bCs/>
                      <w:szCs w:val="21"/>
                    </w:rPr>
                    <w:t>1台</w:t>
                  </w:r>
                </w:p>
              </w:tc>
              <w:tc>
                <w:tcPr>
                  <w:tcW w:w="1019" w:type="dxa"/>
                  <w:vAlign w:val="center"/>
                </w:tcPr>
                <w:p>
                  <w:pPr>
                    <w:jc w:val="center"/>
                    <w:rPr>
                      <w:bCs/>
                      <w:szCs w:val="21"/>
                    </w:rPr>
                  </w:pPr>
                  <w:r>
                    <w:rPr>
                      <w:rFonts w:hint="eastAsia"/>
                      <w:bCs/>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t>3</w:t>
                  </w:r>
                </w:p>
              </w:tc>
              <w:tc>
                <w:tcPr>
                  <w:tcW w:w="1570" w:type="dxa"/>
                </w:tcPr>
                <w:p>
                  <w:pPr>
                    <w:pStyle w:val="46"/>
                    <w:jc w:val="center"/>
                    <w:rPr>
                      <w:rFonts w:ascii="Times New Roman"/>
                      <w:bCs/>
                      <w:sz w:val="21"/>
                      <w:szCs w:val="21"/>
                    </w:rPr>
                  </w:pPr>
                  <w:r>
                    <w:rPr>
                      <w:rFonts w:hint="eastAsia" w:ascii="Times New Roman"/>
                      <w:sz w:val="21"/>
                      <w:szCs w:val="21"/>
                    </w:rPr>
                    <w:t>锁边机</w:t>
                  </w:r>
                </w:p>
              </w:tc>
              <w:tc>
                <w:tcPr>
                  <w:tcW w:w="1892" w:type="dxa"/>
                </w:tcPr>
                <w:p>
                  <w:pPr>
                    <w:jc w:val="center"/>
                  </w:pPr>
                  <w:r>
                    <w:rPr>
                      <w:szCs w:val="21"/>
                    </w:rPr>
                    <w:t>——</w:t>
                  </w:r>
                </w:p>
              </w:tc>
              <w:tc>
                <w:tcPr>
                  <w:tcW w:w="1335" w:type="dxa"/>
                  <w:vAlign w:val="center"/>
                </w:tcPr>
                <w:p>
                  <w:pPr>
                    <w:jc w:val="center"/>
                    <w:rPr>
                      <w:bCs/>
                      <w:szCs w:val="21"/>
                    </w:rPr>
                  </w:pPr>
                  <w:r>
                    <w:rPr>
                      <w:rFonts w:hint="eastAsia"/>
                      <w:bCs/>
                      <w:szCs w:val="21"/>
                    </w:rPr>
                    <w:t>13台</w:t>
                  </w:r>
                </w:p>
              </w:tc>
              <w:tc>
                <w:tcPr>
                  <w:tcW w:w="1019" w:type="dxa"/>
                  <w:vAlign w:val="center"/>
                </w:tcPr>
                <w:p>
                  <w:pPr>
                    <w:jc w:val="center"/>
                    <w:rPr>
                      <w:bCs/>
                      <w:szCs w:val="21"/>
                    </w:rPr>
                  </w:pPr>
                  <w:r>
                    <w:rPr>
                      <w:rFonts w:hint="eastAsia"/>
                      <w:bCs/>
                      <w:szCs w:val="21"/>
                    </w:rPr>
                    <w:t>13台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t>4</w:t>
                  </w:r>
                </w:p>
              </w:tc>
              <w:tc>
                <w:tcPr>
                  <w:tcW w:w="1570" w:type="dxa"/>
                </w:tcPr>
                <w:p>
                  <w:pPr>
                    <w:pStyle w:val="46"/>
                    <w:jc w:val="center"/>
                    <w:rPr>
                      <w:rFonts w:ascii="Times New Roman"/>
                      <w:bCs/>
                      <w:sz w:val="21"/>
                      <w:szCs w:val="21"/>
                    </w:rPr>
                  </w:pPr>
                  <w:r>
                    <w:rPr>
                      <w:rFonts w:hint="eastAsia" w:ascii="Times New Roman"/>
                      <w:sz w:val="21"/>
                      <w:szCs w:val="21"/>
                    </w:rPr>
                    <w:t>过胶机</w:t>
                  </w:r>
                </w:p>
              </w:tc>
              <w:tc>
                <w:tcPr>
                  <w:tcW w:w="1892" w:type="dxa"/>
                  <w:vAlign w:val="center"/>
                </w:tcPr>
                <w:p>
                  <w:pPr>
                    <w:jc w:val="center"/>
                  </w:pPr>
                  <w:r>
                    <w:rPr>
                      <w:rFonts w:hint="eastAsia"/>
                      <w:bCs/>
                      <w:szCs w:val="21"/>
                    </w:rPr>
                    <w:t>HASHZMA</w:t>
                  </w:r>
                </w:p>
              </w:tc>
              <w:tc>
                <w:tcPr>
                  <w:tcW w:w="1335" w:type="dxa"/>
                  <w:vAlign w:val="center"/>
                </w:tcPr>
                <w:p>
                  <w:pPr>
                    <w:jc w:val="center"/>
                    <w:rPr>
                      <w:bCs/>
                      <w:szCs w:val="21"/>
                    </w:rPr>
                  </w:pPr>
                  <w:r>
                    <w:rPr>
                      <w:rFonts w:hint="eastAsia"/>
                      <w:bCs/>
                      <w:szCs w:val="21"/>
                    </w:rPr>
                    <w:t>10台</w:t>
                  </w:r>
                </w:p>
              </w:tc>
              <w:tc>
                <w:tcPr>
                  <w:tcW w:w="1019" w:type="dxa"/>
                  <w:vAlign w:val="center"/>
                </w:tcPr>
                <w:p>
                  <w:pPr>
                    <w:jc w:val="center"/>
                    <w:rPr>
                      <w:bCs/>
                      <w:szCs w:val="21"/>
                    </w:rPr>
                  </w:pPr>
                  <w:r>
                    <w:rPr>
                      <w:rFonts w:hint="eastAsia"/>
                      <w:bCs/>
                      <w:szCs w:val="21"/>
                    </w:rPr>
                    <w:t>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5</w:t>
                  </w:r>
                </w:p>
              </w:tc>
              <w:tc>
                <w:tcPr>
                  <w:tcW w:w="1570" w:type="dxa"/>
                </w:tcPr>
                <w:p>
                  <w:pPr>
                    <w:pStyle w:val="46"/>
                    <w:jc w:val="center"/>
                    <w:rPr>
                      <w:rFonts w:ascii="Times New Roman"/>
                      <w:sz w:val="21"/>
                      <w:szCs w:val="21"/>
                    </w:rPr>
                  </w:pPr>
                  <w:r>
                    <w:rPr>
                      <w:rFonts w:hint="eastAsia" w:ascii="Times New Roman"/>
                      <w:sz w:val="21"/>
                      <w:szCs w:val="21"/>
                    </w:rPr>
                    <w:t>数码打印机</w:t>
                  </w:r>
                </w:p>
              </w:tc>
              <w:tc>
                <w:tcPr>
                  <w:tcW w:w="1892" w:type="dxa"/>
                  <w:vAlign w:val="center"/>
                </w:tcPr>
                <w:p>
                  <w:pPr>
                    <w:jc w:val="center"/>
                    <w:rPr>
                      <w:bCs/>
                      <w:szCs w:val="21"/>
                    </w:rPr>
                  </w:pPr>
                  <w:r>
                    <w:rPr>
                      <w:rFonts w:hint="eastAsia"/>
                      <w:bCs/>
                      <w:szCs w:val="21"/>
                    </w:rPr>
                    <w:t>NIPSON</w:t>
                  </w:r>
                </w:p>
              </w:tc>
              <w:tc>
                <w:tcPr>
                  <w:tcW w:w="1335" w:type="dxa"/>
                  <w:vAlign w:val="center"/>
                </w:tcPr>
                <w:p>
                  <w:pPr>
                    <w:jc w:val="center"/>
                    <w:rPr>
                      <w:bCs/>
                      <w:szCs w:val="21"/>
                    </w:rPr>
                  </w:pPr>
                  <w:r>
                    <w:rPr>
                      <w:rFonts w:hint="eastAsia"/>
                      <w:bCs/>
                      <w:szCs w:val="21"/>
                    </w:rPr>
                    <w:t>1台</w:t>
                  </w:r>
                </w:p>
              </w:tc>
              <w:tc>
                <w:tcPr>
                  <w:tcW w:w="1019" w:type="dxa"/>
                  <w:vAlign w:val="center"/>
                </w:tcPr>
                <w:p>
                  <w:pPr>
                    <w:jc w:val="center"/>
                    <w:rPr>
                      <w:bCs/>
                      <w:szCs w:val="21"/>
                    </w:rPr>
                  </w:pPr>
                  <w:r>
                    <w:rPr>
                      <w:rFonts w:hint="eastAsia"/>
                      <w:bCs/>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6</w:t>
                  </w:r>
                </w:p>
              </w:tc>
              <w:tc>
                <w:tcPr>
                  <w:tcW w:w="1570" w:type="dxa"/>
                </w:tcPr>
                <w:p>
                  <w:pPr>
                    <w:pStyle w:val="46"/>
                    <w:jc w:val="center"/>
                    <w:rPr>
                      <w:rFonts w:ascii="Times New Roman"/>
                      <w:bCs/>
                      <w:sz w:val="21"/>
                      <w:szCs w:val="21"/>
                    </w:rPr>
                  </w:pPr>
                  <w:r>
                    <w:rPr>
                      <w:rFonts w:hint="eastAsia" w:ascii="Times New Roman"/>
                      <w:sz w:val="21"/>
                      <w:szCs w:val="21"/>
                    </w:rPr>
                    <w:t>切纸机</w:t>
                  </w:r>
                </w:p>
              </w:tc>
              <w:tc>
                <w:tcPr>
                  <w:tcW w:w="1892" w:type="dxa"/>
                </w:tcPr>
                <w:p>
                  <w:pPr>
                    <w:jc w:val="center"/>
                  </w:pPr>
                  <w:r>
                    <w:rPr>
                      <w:szCs w:val="21"/>
                    </w:rPr>
                    <w:t>——</w:t>
                  </w:r>
                </w:p>
              </w:tc>
              <w:tc>
                <w:tcPr>
                  <w:tcW w:w="1335" w:type="dxa"/>
                  <w:vAlign w:val="center"/>
                </w:tcPr>
                <w:p>
                  <w:pPr>
                    <w:jc w:val="center"/>
                    <w:rPr>
                      <w:bCs/>
                      <w:szCs w:val="21"/>
                    </w:rPr>
                  </w:pPr>
                  <w:r>
                    <w:rPr>
                      <w:rFonts w:hint="eastAsia"/>
                      <w:bCs/>
                      <w:szCs w:val="21"/>
                    </w:rPr>
                    <w:t>9台</w:t>
                  </w:r>
                </w:p>
              </w:tc>
              <w:tc>
                <w:tcPr>
                  <w:tcW w:w="1019" w:type="dxa"/>
                  <w:vAlign w:val="center"/>
                </w:tcPr>
                <w:p>
                  <w:pPr>
                    <w:jc w:val="center"/>
                    <w:rPr>
                      <w:bCs/>
                      <w:szCs w:val="21"/>
                    </w:rPr>
                  </w:pPr>
                  <w:r>
                    <w:rPr>
                      <w:rFonts w:hint="eastAsia"/>
                      <w:bCs/>
                      <w:szCs w:val="21"/>
                    </w:rPr>
                    <w:t>9台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7</w:t>
                  </w:r>
                </w:p>
              </w:tc>
              <w:tc>
                <w:tcPr>
                  <w:tcW w:w="1570" w:type="dxa"/>
                </w:tcPr>
                <w:p>
                  <w:pPr>
                    <w:pStyle w:val="46"/>
                    <w:jc w:val="center"/>
                    <w:rPr>
                      <w:rFonts w:ascii="Times New Roman"/>
                      <w:bCs/>
                      <w:sz w:val="21"/>
                      <w:szCs w:val="21"/>
                    </w:rPr>
                  </w:pPr>
                  <w:r>
                    <w:rPr>
                      <w:rFonts w:hint="eastAsia" w:ascii="Times New Roman"/>
                      <w:sz w:val="21"/>
                      <w:szCs w:val="21"/>
                    </w:rPr>
                    <w:t>热熔压平机</w:t>
                  </w:r>
                </w:p>
              </w:tc>
              <w:tc>
                <w:tcPr>
                  <w:tcW w:w="1892" w:type="dxa"/>
                </w:tcPr>
                <w:p>
                  <w:pPr>
                    <w:jc w:val="center"/>
                  </w:pPr>
                  <w:r>
                    <w:rPr>
                      <w:szCs w:val="21"/>
                    </w:rPr>
                    <w:t>——</w:t>
                  </w:r>
                </w:p>
              </w:tc>
              <w:tc>
                <w:tcPr>
                  <w:tcW w:w="1335" w:type="dxa"/>
                  <w:vAlign w:val="center"/>
                </w:tcPr>
                <w:p>
                  <w:pPr>
                    <w:jc w:val="center"/>
                    <w:rPr>
                      <w:bCs/>
                      <w:szCs w:val="21"/>
                    </w:rPr>
                  </w:pPr>
                  <w:r>
                    <w:rPr>
                      <w:rFonts w:hint="eastAsia"/>
                      <w:bCs/>
                      <w:szCs w:val="21"/>
                    </w:rPr>
                    <w:t>5台</w:t>
                  </w:r>
                </w:p>
              </w:tc>
              <w:tc>
                <w:tcPr>
                  <w:tcW w:w="1019" w:type="dxa"/>
                  <w:vAlign w:val="center"/>
                </w:tcPr>
                <w:p>
                  <w:pPr>
                    <w:jc w:val="center"/>
                    <w:rPr>
                      <w:bCs/>
                      <w:szCs w:val="21"/>
                    </w:rPr>
                  </w:pPr>
                  <w:r>
                    <w:rPr>
                      <w:rFonts w:hint="eastAsia"/>
                      <w:bCs/>
                      <w:szCs w:val="21"/>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8</w:t>
                  </w:r>
                </w:p>
              </w:tc>
              <w:tc>
                <w:tcPr>
                  <w:tcW w:w="1570" w:type="dxa"/>
                </w:tcPr>
                <w:p>
                  <w:pPr>
                    <w:pStyle w:val="46"/>
                    <w:jc w:val="center"/>
                    <w:rPr>
                      <w:rFonts w:ascii="Times New Roman"/>
                      <w:sz w:val="21"/>
                      <w:szCs w:val="21"/>
                    </w:rPr>
                  </w:pPr>
                  <w:r>
                    <w:rPr>
                      <w:rFonts w:hint="eastAsia" w:ascii="Times New Roman"/>
                      <w:sz w:val="21"/>
                      <w:szCs w:val="21"/>
                    </w:rPr>
                    <w:t>布料分切机</w:t>
                  </w:r>
                </w:p>
              </w:tc>
              <w:tc>
                <w:tcPr>
                  <w:tcW w:w="1892" w:type="dxa"/>
                </w:tcPr>
                <w:p>
                  <w:pPr>
                    <w:jc w:val="center"/>
                    <w:rPr>
                      <w:bCs/>
                      <w:szCs w:val="21"/>
                    </w:rPr>
                  </w:pPr>
                  <w:r>
                    <w:rPr>
                      <w:szCs w:val="21"/>
                    </w:rPr>
                    <w:t>——</w:t>
                  </w:r>
                </w:p>
              </w:tc>
              <w:tc>
                <w:tcPr>
                  <w:tcW w:w="1335" w:type="dxa"/>
                  <w:vAlign w:val="center"/>
                </w:tcPr>
                <w:p>
                  <w:pPr>
                    <w:jc w:val="center"/>
                    <w:rPr>
                      <w:bCs/>
                      <w:szCs w:val="21"/>
                    </w:rPr>
                  </w:pPr>
                  <w:r>
                    <w:rPr>
                      <w:rFonts w:hint="eastAsia"/>
                      <w:bCs/>
                      <w:szCs w:val="21"/>
                    </w:rPr>
                    <w:t>5台</w:t>
                  </w:r>
                </w:p>
              </w:tc>
              <w:tc>
                <w:tcPr>
                  <w:tcW w:w="1019" w:type="dxa"/>
                  <w:vAlign w:val="center"/>
                </w:tcPr>
                <w:p>
                  <w:pPr>
                    <w:jc w:val="center"/>
                    <w:rPr>
                      <w:bCs/>
                      <w:szCs w:val="21"/>
                    </w:rPr>
                  </w:pPr>
                  <w:r>
                    <w:rPr>
                      <w:rFonts w:hint="eastAsia"/>
                      <w:bCs/>
                      <w:szCs w:val="21"/>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9</w:t>
                  </w:r>
                </w:p>
              </w:tc>
              <w:tc>
                <w:tcPr>
                  <w:tcW w:w="1570" w:type="dxa"/>
                </w:tcPr>
                <w:p>
                  <w:pPr>
                    <w:pStyle w:val="46"/>
                    <w:jc w:val="center"/>
                    <w:rPr>
                      <w:rFonts w:ascii="Times New Roman"/>
                      <w:bCs/>
                      <w:sz w:val="21"/>
                      <w:szCs w:val="21"/>
                    </w:rPr>
                  </w:pPr>
                  <w:r>
                    <w:rPr>
                      <w:rFonts w:hint="eastAsia" w:ascii="Times New Roman"/>
                      <w:sz w:val="21"/>
                      <w:szCs w:val="21"/>
                    </w:rPr>
                    <w:t>粘合机</w:t>
                  </w:r>
                </w:p>
              </w:tc>
              <w:tc>
                <w:tcPr>
                  <w:tcW w:w="1892" w:type="dxa"/>
                </w:tcPr>
                <w:p>
                  <w:pPr>
                    <w:jc w:val="center"/>
                  </w:pPr>
                  <w:r>
                    <w:rPr>
                      <w:szCs w:val="21"/>
                    </w:rPr>
                    <w:t>——</w:t>
                  </w:r>
                </w:p>
              </w:tc>
              <w:tc>
                <w:tcPr>
                  <w:tcW w:w="1335" w:type="dxa"/>
                  <w:vAlign w:val="center"/>
                </w:tcPr>
                <w:p>
                  <w:pPr>
                    <w:jc w:val="center"/>
                    <w:rPr>
                      <w:bCs/>
                      <w:szCs w:val="21"/>
                    </w:rPr>
                  </w:pPr>
                  <w:r>
                    <w:rPr>
                      <w:rFonts w:hint="eastAsia"/>
                      <w:bCs/>
                      <w:szCs w:val="21"/>
                    </w:rPr>
                    <w:t>7台</w:t>
                  </w:r>
                </w:p>
              </w:tc>
              <w:tc>
                <w:tcPr>
                  <w:tcW w:w="1019" w:type="dxa"/>
                  <w:vAlign w:val="center"/>
                </w:tcPr>
                <w:p>
                  <w:pPr>
                    <w:jc w:val="center"/>
                    <w:rPr>
                      <w:bCs/>
                      <w:szCs w:val="21"/>
                    </w:rPr>
                  </w:pPr>
                  <w:r>
                    <w:rPr>
                      <w:rFonts w:hint="eastAsia"/>
                      <w:bCs/>
                      <w:szCs w:val="21"/>
                    </w:rPr>
                    <w:t>7台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10</w:t>
                  </w:r>
                </w:p>
              </w:tc>
              <w:tc>
                <w:tcPr>
                  <w:tcW w:w="1570" w:type="dxa"/>
                </w:tcPr>
                <w:p>
                  <w:pPr>
                    <w:pStyle w:val="46"/>
                    <w:jc w:val="center"/>
                    <w:rPr>
                      <w:rFonts w:ascii="Times New Roman"/>
                      <w:bCs/>
                      <w:sz w:val="21"/>
                      <w:szCs w:val="21"/>
                    </w:rPr>
                  </w:pPr>
                  <w:r>
                    <w:rPr>
                      <w:rFonts w:hint="eastAsia" w:ascii="Times New Roman"/>
                      <w:sz w:val="21"/>
                      <w:szCs w:val="21"/>
                    </w:rPr>
                    <w:t>气钉枪</w:t>
                  </w:r>
                </w:p>
              </w:tc>
              <w:tc>
                <w:tcPr>
                  <w:tcW w:w="1892" w:type="dxa"/>
                </w:tcPr>
                <w:p>
                  <w:pPr>
                    <w:jc w:val="center"/>
                  </w:pPr>
                  <w:r>
                    <w:rPr>
                      <w:szCs w:val="21"/>
                    </w:rPr>
                    <w:t>——</w:t>
                  </w:r>
                </w:p>
              </w:tc>
              <w:tc>
                <w:tcPr>
                  <w:tcW w:w="1335" w:type="dxa"/>
                  <w:vAlign w:val="center"/>
                </w:tcPr>
                <w:p>
                  <w:pPr>
                    <w:jc w:val="center"/>
                    <w:rPr>
                      <w:bCs/>
                      <w:szCs w:val="21"/>
                    </w:rPr>
                  </w:pPr>
                  <w:r>
                    <w:rPr>
                      <w:rFonts w:hint="eastAsia"/>
                      <w:bCs/>
                      <w:szCs w:val="21"/>
                    </w:rPr>
                    <w:t>20支</w:t>
                  </w:r>
                </w:p>
              </w:tc>
              <w:tc>
                <w:tcPr>
                  <w:tcW w:w="1019" w:type="dxa"/>
                  <w:vAlign w:val="center"/>
                </w:tcPr>
                <w:p>
                  <w:pPr>
                    <w:jc w:val="center"/>
                    <w:rPr>
                      <w:bCs/>
                      <w:szCs w:val="21"/>
                    </w:rPr>
                  </w:pPr>
                  <w:r>
                    <w:rPr>
                      <w:rFonts w:hint="eastAsia"/>
                      <w:bCs/>
                      <w:szCs w:val="21"/>
                    </w:rPr>
                    <w:t>20支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11</w:t>
                  </w:r>
                </w:p>
              </w:tc>
              <w:tc>
                <w:tcPr>
                  <w:tcW w:w="1570" w:type="dxa"/>
                </w:tcPr>
                <w:p>
                  <w:pPr>
                    <w:pStyle w:val="46"/>
                    <w:jc w:val="center"/>
                    <w:rPr>
                      <w:rFonts w:ascii="Times New Roman"/>
                      <w:bCs/>
                      <w:sz w:val="21"/>
                      <w:szCs w:val="21"/>
                    </w:rPr>
                  </w:pPr>
                  <w:r>
                    <w:rPr>
                      <w:rFonts w:hint="eastAsia" w:ascii="Times New Roman"/>
                      <w:sz w:val="21"/>
                      <w:szCs w:val="21"/>
                    </w:rPr>
                    <w:t>打孔机</w:t>
                  </w:r>
                </w:p>
              </w:tc>
              <w:tc>
                <w:tcPr>
                  <w:tcW w:w="1892" w:type="dxa"/>
                </w:tcPr>
                <w:p>
                  <w:pPr>
                    <w:jc w:val="center"/>
                  </w:pPr>
                  <w:r>
                    <w:rPr>
                      <w:szCs w:val="21"/>
                    </w:rPr>
                    <w:t>——</w:t>
                  </w:r>
                </w:p>
              </w:tc>
              <w:tc>
                <w:tcPr>
                  <w:tcW w:w="1335" w:type="dxa"/>
                  <w:vAlign w:val="center"/>
                </w:tcPr>
                <w:p>
                  <w:pPr>
                    <w:jc w:val="center"/>
                    <w:rPr>
                      <w:bCs/>
                      <w:szCs w:val="21"/>
                    </w:rPr>
                  </w:pPr>
                  <w:r>
                    <w:rPr>
                      <w:rFonts w:hint="eastAsia"/>
                      <w:bCs/>
                      <w:szCs w:val="21"/>
                    </w:rPr>
                    <w:t>6台</w:t>
                  </w:r>
                </w:p>
              </w:tc>
              <w:tc>
                <w:tcPr>
                  <w:tcW w:w="1019" w:type="dxa"/>
                  <w:vAlign w:val="center"/>
                </w:tcPr>
                <w:p>
                  <w:pPr>
                    <w:jc w:val="center"/>
                    <w:rPr>
                      <w:bCs/>
                      <w:szCs w:val="21"/>
                    </w:rPr>
                  </w:pPr>
                  <w:r>
                    <w:rPr>
                      <w:rFonts w:hint="eastAsia"/>
                      <w:bCs/>
                      <w:szCs w:val="21"/>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12</w:t>
                  </w:r>
                </w:p>
              </w:tc>
              <w:tc>
                <w:tcPr>
                  <w:tcW w:w="1570" w:type="dxa"/>
                </w:tcPr>
                <w:p>
                  <w:pPr>
                    <w:pStyle w:val="46"/>
                    <w:jc w:val="center"/>
                    <w:rPr>
                      <w:rFonts w:ascii="Times New Roman"/>
                      <w:sz w:val="21"/>
                      <w:szCs w:val="21"/>
                    </w:rPr>
                  </w:pPr>
                  <w:r>
                    <w:rPr>
                      <w:rFonts w:hint="eastAsia" w:ascii="Times New Roman"/>
                      <w:sz w:val="21"/>
                      <w:szCs w:val="21"/>
                    </w:rPr>
                    <w:t>折边机</w:t>
                  </w:r>
                </w:p>
              </w:tc>
              <w:tc>
                <w:tcPr>
                  <w:tcW w:w="1892" w:type="dxa"/>
                </w:tcPr>
                <w:p>
                  <w:pPr>
                    <w:jc w:val="center"/>
                    <w:rPr>
                      <w:bCs/>
                      <w:szCs w:val="21"/>
                    </w:rPr>
                  </w:pPr>
                  <w:r>
                    <w:rPr>
                      <w:szCs w:val="21"/>
                    </w:rPr>
                    <w:t>——</w:t>
                  </w:r>
                </w:p>
              </w:tc>
              <w:tc>
                <w:tcPr>
                  <w:tcW w:w="1335" w:type="dxa"/>
                  <w:vAlign w:val="center"/>
                </w:tcPr>
                <w:p>
                  <w:pPr>
                    <w:jc w:val="center"/>
                    <w:rPr>
                      <w:bCs/>
                      <w:szCs w:val="21"/>
                    </w:rPr>
                  </w:pPr>
                  <w:r>
                    <w:rPr>
                      <w:rFonts w:hint="eastAsia"/>
                      <w:bCs/>
                      <w:szCs w:val="21"/>
                    </w:rPr>
                    <w:t>7台</w:t>
                  </w:r>
                </w:p>
              </w:tc>
              <w:tc>
                <w:tcPr>
                  <w:tcW w:w="1019" w:type="dxa"/>
                  <w:vAlign w:val="center"/>
                </w:tcPr>
                <w:p>
                  <w:pPr>
                    <w:jc w:val="center"/>
                    <w:rPr>
                      <w:bCs/>
                      <w:szCs w:val="21"/>
                    </w:rPr>
                  </w:pPr>
                  <w:r>
                    <w:rPr>
                      <w:rFonts w:hint="eastAsia"/>
                      <w:bCs/>
                      <w:szCs w:val="21"/>
                    </w:rPr>
                    <w:t>7台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13</w:t>
                  </w:r>
                </w:p>
              </w:tc>
              <w:tc>
                <w:tcPr>
                  <w:tcW w:w="1570" w:type="dxa"/>
                </w:tcPr>
                <w:p>
                  <w:pPr>
                    <w:pStyle w:val="46"/>
                    <w:jc w:val="center"/>
                    <w:rPr>
                      <w:rFonts w:ascii="Times New Roman"/>
                      <w:sz w:val="21"/>
                      <w:szCs w:val="21"/>
                    </w:rPr>
                  </w:pPr>
                  <w:r>
                    <w:rPr>
                      <w:rFonts w:hint="eastAsia" w:ascii="Times New Roman"/>
                      <w:sz w:val="21"/>
                      <w:szCs w:val="21"/>
                    </w:rPr>
                    <w:t>铆钉机</w:t>
                  </w:r>
                </w:p>
              </w:tc>
              <w:tc>
                <w:tcPr>
                  <w:tcW w:w="1892" w:type="dxa"/>
                </w:tcPr>
                <w:p>
                  <w:pPr>
                    <w:jc w:val="center"/>
                    <w:rPr>
                      <w:bCs/>
                      <w:szCs w:val="21"/>
                    </w:rPr>
                  </w:pPr>
                  <w:r>
                    <w:rPr>
                      <w:szCs w:val="21"/>
                    </w:rPr>
                    <w:t>——</w:t>
                  </w:r>
                </w:p>
              </w:tc>
              <w:tc>
                <w:tcPr>
                  <w:tcW w:w="1335" w:type="dxa"/>
                  <w:vAlign w:val="center"/>
                </w:tcPr>
                <w:p>
                  <w:pPr>
                    <w:jc w:val="center"/>
                    <w:rPr>
                      <w:bCs/>
                      <w:szCs w:val="21"/>
                    </w:rPr>
                  </w:pPr>
                  <w:r>
                    <w:rPr>
                      <w:rFonts w:hint="eastAsia"/>
                      <w:bCs/>
                      <w:szCs w:val="21"/>
                    </w:rPr>
                    <w:t>3台</w:t>
                  </w:r>
                </w:p>
              </w:tc>
              <w:tc>
                <w:tcPr>
                  <w:tcW w:w="1019" w:type="dxa"/>
                  <w:vAlign w:val="center"/>
                </w:tcPr>
                <w:p>
                  <w:pPr>
                    <w:jc w:val="center"/>
                    <w:rPr>
                      <w:bCs/>
                      <w:szCs w:val="21"/>
                    </w:rPr>
                  </w:pPr>
                  <w:r>
                    <w:rPr>
                      <w:rFonts w:hint="eastAsia"/>
                      <w:bCs/>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14</w:t>
                  </w:r>
                </w:p>
              </w:tc>
              <w:tc>
                <w:tcPr>
                  <w:tcW w:w="1570" w:type="dxa"/>
                </w:tcPr>
                <w:p>
                  <w:pPr>
                    <w:pStyle w:val="46"/>
                    <w:jc w:val="center"/>
                    <w:rPr>
                      <w:rFonts w:ascii="Times New Roman"/>
                      <w:sz w:val="21"/>
                      <w:szCs w:val="21"/>
                    </w:rPr>
                  </w:pPr>
                  <w:r>
                    <w:rPr>
                      <w:rFonts w:hint="eastAsia" w:ascii="Times New Roman"/>
                      <w:sz w:val="21"/>
                      <w:szCs w:val="21"/>
                    </w:rPr>
                    <w:t>空压机</w:t>
                  </w:r>
                </w:p>
              </w:tc>
              <w:tc>
                <w:tcPr>
                  <w:tcW w:w="1892" w:type="dxa"/>
                </w:tcPr>
                <w:p>
                  <w:pPr>
                    <w:pStyle w:val="46"/>
                    <w:jc w:val="center"/>
                    <w:rPr>
                      <w:bCs/>
                      <w:szCs w:val="21"/>
                      <w:lang w:val="en-IE"/>
                    </w:rPr>
                  </w:pPr>
                  <w:r>
                    <w:rPr>
                      <w:rFonts w:hint="eastAsia" w:ascii="Times New Roman"/>
                      <w:sz w:val="21"/>
                      <w:szCs w:val="21"/>
                    </w:rPr>
                    <w:t>8</w:t>
                  </w:r>
                  <w:r>
                    <w:rPr>
                      <w:rFonts w:ascii="Times New Roman"/>
                      <w:sz w:val="21"/>
                      <w:szCs w:val="21"/>
                    </w:rPr>
                    <w:t>.5kw;7.5kw</w:t>
                  </w:r>
                  <w:r>
                    <w:rPr>
                      <w:rFonts w:hint="eastAsia" w:ascii="Times New Roman"/>
                      <w:sz w:val="21"/>
                      <w:szCs w:val="21"/>
                    </w:rPr>
                    <w:t>螺杆式</w:t>
                  </w:r>
                </w:p>
              </w:tc>
              <w:tc>
                <w:tcPr>
                  <w:tcW w:w="1335" w:type="dxa"/>
                  <w:vAlign w:val="center"/>
                </w:tcPr>
                <w:p>
                  <w:pPr>
                    <w:jc w:val="center"/>
                    <w:rPr>
                      <w:bCs/>
                      <w:szCs w:val="21"/>
                    </w:rPr>
                  </w:pPr>
                  <w:r>
                    <w:rPr>
                      <w:rFonts w:hint="eastAsia"/>
                      <w:bCs/>
                      <w:szCs w:val="21"/>
                    </w:rPr>
                    <w:t>3台</w:t>
                  </w:r>
                </w:p>
              </w:tc>
              <w:tc>
                <w:tcPr>
                  <w:tcW w:w="1019" w:type="dxa"/>
                  <w:vAlign w:val="center"/>
                </w:tcPr>
                <w:p>
                  <w:pPr>
                    <w:jc w:val="center"/>
                    <w:rPr>
                      <w:bCs/>
                      <w:szCs w:val="21"/>
                    </w:rPr>
                  </w:pPr>
                  <w:r>
                    <w:rPr>
                      <w:rFonts w:hint="eastAsia"/>
                      <w:bCs/>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15</w:t>
                  </w:r>
                </w:p>
              </w:tc>
              <w:tc>
                <w:tcPr>
                  <w:tcW w:w="1570" w:type="dxa"/>
                </w:tcPr>
                <w:p>
                  <w:pPr>
                    <w:pStyle w:val="46"/>
                    <w:jc w:val="center"/>
                    <w:rPr>
                      <w:rFonts w:ascii="Times New Roman"/>
                      <w:sz w:val="21"/>
                      <w:szCs w:val="21"/>
                    </w:rPr>
                  </w:pPr>
                  <w:r>
                    <w:rPr>
                      <w:rFonts w:hint="eastAsia" w:ascii="Times New Roman"/>
                      <w:sz w:val="21"/>
                      <w:szCs w:val="21"/>
                    </w:rPr>
                    <w:t>热熔胶枪</w:t>
                  </w:r>
                </w:p>
              </w:tc>
              <w:tc>
                <w:tcPr>
                  <w:tcW w:w="1892" w:type="dxa"/>
                </w:tcPr>
                <w:p>
                  <w:pPr>
                    <w:jc w:val="center"/>
                    <w:rPr>
                      <w:bCs/>
                      <w:szCs w:val="21"/>
                    </w:rPr>
                  </w:pPr>
                  <w:r>
                    <w:rPr>
                      <w:szCs w:val="21"/>
                    </w:rPr>
                    <w:t>——</w:t>
                  </w:r>
                </w:p>
              </w:tc>
              <w:tc>
                <w:tcPr>
                  <w:tcW w:w="1335" w:type="dxa"/>
                  <w:vAlign w:val="center"/>
                </w:tcPr>
                <w:p>
                  <w:pPr>
                    <w:jc w:val="center"/>
                    <w:rPr>
                      <w:bCs/>
                      <w:szCs w:val="21"/>
                    </w:rPr>
                  </w:pPr>
                  <w:r>
                    <w:rPr>
                      <w:rFonts w:hint="eastAsia"/>
                      <w:bCs/>
                      <w:szCs w:val="21"/>
                    </w:rPr>
                    <w:t>6支</w:t>
                  </w:r>
                </w:p>
              </w:tc>
              <w:tc>
                <w:tcPr>
                  <w:tcW w:w="1019" w:type="dxa"/>
                  <w:vAlign w:val="center"/>
                </w:tcPr>
                <w:p>
                  <w:pPr>
                    <w:jc w:val="center"/>
                    <w:rPr>
                      <w:bCs/>
                      <w:szCs w:val="21"/>
                    </w:rPr>
                  </w:pPr>
                  <w:r>
                    <w:rPr>
                      <w:rFonts w:hint="eastAsia"/>
                      <w:bCs/>
                      <w:szCs w:val="21"/>
                    </w:rPr>
                    <w:t>6支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16</w:t>
                  </w:r>
                </w:p>
              </w:tc>
              <w:tc>
                <w:tcPr>
                  <w:tcW w:w="1570" w:type="dxa"/>
                </w:tcPr>
                <w:p>
                  <w:pPr>
                    <w:pStyle w:val="46"/>
                    <w:jc w:val="center"/>
                    <w:rPr>
                      <w:rFonts w:ascii="Times New Roman"/>
                      <w:sz w:val="21"/>
                      <w:szCs w:val="21"/>
                    </w:rPr>
                  </w:pPr>
                  <w:r>
                    <w:rPr>
                      <w:rFonts w:hint="eastAsia" w:ascii="Times New Roman"/>
                      <w:sz w:val="21"/>
                      <w:szCs w:val="21"/>
                    </w:rPr>
                    <w:t>电动叉车</w:t>
                  </w:r>
                </w:p>
              </w:tc>
              <w:tc>
                <w:tcPr>
                  <w:tcW w:w="1892" w:type="dxa"/>
                </w:tcPr>
                <w:p>
                  <w:pPr>
                    <w:jc w:val="center"/>
                    <w:rPr>
                      <w:bCs/>
                      <w:szCs w:val="21"/>
                    </w:rPr>
                  </w:pPr>
                  <w:r>
                    <w:rPr>
                      <w:szCs w:val="21"/>
                    </w:rPr>
                    <w:t>——</w:t>
                  </w:r>
                </w:p>
              </w:tc>
              <w:tc>
                <w:tcPr>
                  <w:tcW w:w="1335" w:type="dxa"/>
                  <w:vAlign w:val="center"/>
                </w:tcPr>
                <w:p>
                  <w:pPr>
                    <w:jc w:val="center"/>
                    <w:rPr>
                      <w:bCs/>
                      <w:szCs w:val="21"/>
                    </w:rPr>
                  </w:pPr>
                  <w:r>
                    <w:rPr>
                      <w:rFonts w:hint="eastAsia"/>
                      <w:bCs/>
                      <w:szCs w:val="21"/>
                    </w:rPr>
                    <w:t>2台</w:t>
                  </w:r>
                </w:p>
              </w:tc>
              <w:tc>
                <w:tcPr>
                  <w:tcW w:w="1019" w:type="dxa"/>
                  <w:vAlign w:val="center"/>
                </w:tcPr>
                <w:p>
                  <w:pPr>
                    <w:jc w:val="center"/>
                    <w:rPr>
                      <w:bCs/>
                      <w:szCs w:val="21"/>
                    </w:rPr>
                  </w:pPr>
                  <w:r>
                    <w:rPr>
                      <w:rFonts w:hint="eastAsia"/>
                      <w:bCs/>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Merge w:val="continue"/>
                  <w:vAlign w:val="center"/>
                </w:tcPr>
                <w:p>
                  <w:pPr>
                    <w:jc w:val="center"/>
                    <w:rPr>
                      <w:szCs w:val="21"/>
                    </w:rPr>
                  </w:pPr>
                </w:p>
              </w:tc>
              <w:tc>
                <w:tcPr>
                  <w:tcW w:w="699" w:type="dxa"/>
                  <w:tcBorders>
                    <w:bottom w:val="single" w:color="auto" w:sz="4" w:space="0"/>
                  </w:tcBorders>
                  <w:vAlign w:val="center"/>
                </w:tcPr>
                <w:p>
                  <w:pPr>
                    <w:jc w:val="center"/>
                  </w:pPr>
                  <w:r>
                    <w:rPr>
                      <w:rFonts w:hint="eastAsia"/>
                    </w:rPr>
                    <w:t>17</w:t>
                  </w:r>
                </w:p>
              </w:tc>
              <w:tc>
                <w:tcPr>
                  <w:tcW w:w="1570" w:type="dxa"/>
                </w:tcPr>
                <w:p>
                  <w:pPr>
                    <w:pStyle w:val="46"/>
                    <w:jc w:val="center"/>
                    <w:rPr>
                      <w:rFonts w:ascii="Times New Roman"/>
                      <w:sz w:val="21"/>
                      <w:szCs w:val="21"/>
                    </w:rPr>
                  </w:pPr>
                  <w:r>
                    <w:rPr>
                      <w:rFonts w:hint="eastAsia" w:ascii="Times New Roman"/>
                      <w:sz w:val="21"/>
                      <w:szCs w:val="21"/>
                    </w:rPr>
                    <w:t>运输汽车</w:t>
                  </w:r>
                </w:p>
              </w:tc>
              <w:tc>
                <w:tcPr>
                  <w:tcW w:w="1892" w:type="dxa"/>
                </w:tcPr>
                <w:p>
                  <w:pPr>
                    <w:jc w:val="center"/>
                    <w:rPr>
                      <w:bCs/>
                      <w:szCs w:val="21"/>
                    </w:rPr>
                  </w:pPr>
                  <w:r>
                    <w:rPr>
                      <w:szCs w:val="21"/>
                    </w:rPr>
                    <w:t>——</w:t>
                  </w:r>
                </w:p>
              </w:tc>
              <w:tc>
                <w:tcPr>
                  <w:tcW w:w="1335" w:type="dxa"/>
                  <w:vAlign w:val="center"/>
                </w:tcPr>
                <w:p>
                  <w:pPr>
                    <w:jc w:val="center"/>
                    <w:rPr>
                      <w:bCs/>
                      <w:szCs w:val="21"/>
                    </w:rPr>
                  </w:pPr>
                  <w:r>
                    <w:rPr>
                      <w:rFonts w:hint="eastAsia"/>
                      <w:bCs/>
                      <w:szCs w:val="21"/>
                    </w:rPr>
                    <w:t>2台</w:t>
                  </w:r>
                </w:p>
              </w:tc>
              <w:tc>
                <w:tcPr>
                  <w:tcW w:w="1019" w:type="dxa"/>
                  <w:vAlign w:val="center"/>
                </w:tcPr>
                <w:p>
                  <w:pPr>
                    <w:jc w:val="center"/>
                    <w:rPr>
                      <w:bCs/>
                      <w:szCs w:val="21"/>
                    </w:rPr>
                  </w:pPr>
                  <w:r>
                    <w:rPr>
                      <w:rFonts w:hint="eastAsia"/>
                      <w:bCs/>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Align w:val="center"/>
                </w:tcPr>
                <w:p>
                  <w:pPr>
                    <w:jc w:val="center"/>
                    <w:rPr>
                      <w:szCs w:val="21"/>
                    </w:rPr>
                  </w:pPr>
                  <w:r>
                    <w:rPr>
                      <w:szCs w:val="21"/>
                    </w:rPr>
                    <w:t>公用</w:t>
                  </w:r>
                </w:p>
              </w:tc>
              <w:tc>
                <w:tcPr>
                  <w:tcW w:w="699" w:type="dxa"/>
                </w:tcPr>
                <w:p>
                  <w:pPr>
                    <w:jc w:val="center"/>
                    <w:rPr>
                      <w:szCs w:val="21"/>
                    </w:rPr>
                  </w:pPr>
                  <w:r>
                    <w:rPr>
                      <w:szCs w:val="21"/>
                    </w:rPr>
                    <w:t>——</w:t>
                  </w:r>
                </w:p>
              </w:tc>
              <w:tc>
                <w:tcPr>
                  <w:tcW w:w="1570" w:type="dxa"/>
                  <w:vAlign w:val="center"/>
                </w:tcPr>
                <w:p>
                  <w:pPr>
                    <w:jc w:val="center"/>
                    <w:rPr>
                      <w:szCs w:val="21"/>
                    </w:rPr>
                  </w:pPr>
                  <w:r>
                    <w:rPr>
                      <w:szCs w:val="21"/>
                    </w:rPr>
                    <w:t>——</w:t>
                  </w:r>
                </w:p>
              </w:tc>
              <w:tc>
                <w:tcPr>
                  <w:tcW w:w="1892" w:type="dxa"/>
                </w:tcPr>
                <w:p>
                  <w:pPr>
                    <w:jc w:val="center"/>
                    <w:rPr>
                      <w:szCs w:val="21"/>
                    </w:rPr>
                  </w:pPr>
                  <w:r>
                    <w:rPr>
                      <w:szCs w:val="21"/>
                    </w:rPr>
                    <w:t>——</w:t>
                  </w:r>
                </w:p>
              </w:tc>
              <w:tc>
                <w:tcPr>
                  <w:tcW w:w="1335" w:type="dxa"/>
                  <w:vAlign w:val="center"/>
                </w:tcPr>
                <w:p>
                  <w:pPr>
                    <w:jc w:val="center"/>
                    <w:rPr>
                      <w:szCs w:val="21"/>
                    </w:rPr>
                  </w:pPr>
                  <w:r>
                    <w:rPr>
                      <w:szCs w:val="21"/>
                    </w:rPr>
                    <w:t>——</w:t>
                  </w:r>
                </w:p>
              </w:tc>
              <w:tc>
                <w:tcPr>
                  <w:tcW w:w="1019" w:type="dxa"/>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Align w:val="center"/>
                </w:tcPr>
                <w:p>
                  <w:pPr>
                    <w:jc w:val="center"/>
                    <w:rPr>
                      <w:szCs w:val="21"/>
                    </w:rPr>
                  </w:pPr>
                  <w:r>
                    <w:rPr>
                      <w:szCs w:val="21"/>
                    </w:rPr>
                    <w:t>贮运</w:t>
                  </w:r>
                </w:p>
              </w:tc>
              <w:tc>
                <w:tcPr>
                  <w:tcW w:w="699" w:type="dxa"/>
                </w:tcPr>
                <w:p>
                  <w:pPr>
                    <w:jc w:val="center"/>
                    <w:rPr>
                      <w:szCs w:val="21"/>
                    </w:rPr>
                  </w:pPr>
                  <w:r>
                    <w:rPr>
                      <w:szCs w:val="21"/>
                    </w:rPr>
                    <w:t>——</w:t>
                  </w:r>
                </w:p>
              </w:tc>
              <w:tc>
                <w:tcPr>
                  <w:tcW w:w="1570" w:type="dxa"/>
                  <w:vAlign w:val="center"/>
                </w:tcPr>
                <w:p>
                  <w:pPr>
                    <w:jc w:val="center"/>
                    <w:rPr>
                      <w:szCs w:val="21"/>
                    </w:rPr>
                  </w:pPr>
                  <w:r>
                    <w:rPr>
                      <w:szCs w:val="21"/>
                    </w:rPr>
                    <w:t>——</w:t>
                  </w:r>
                </w:p>
              </w:tc>
              <w:tc>
                <w:tcPr>
                  <w:tcW w:w="1892" w:type="dxa"/>
                </w:tcPr>
                <w:p>
                  <w:pPr>
                    <w:jc w:val="center"/>
                    <w:rPr>
                      <w:szCs w:val="21"/>
                    </w:rPr>
                  </w:pPr>
                  <w:r>
                    <w:rPr>
                      <w:szCs w:val="21"/>
                    </w:rPr>
                    <w:t>——</w:t>
                  </w:r>
                </w:p>
              </w:tc>
              <w:tc>
                <w:tcPr>
                  <w:tcW w:w="1335" w:type="dxa"/>
                  <w:vAlign w:val="center"/>
                </w:tcPr>
                <w:p>
                  <w:pPr>
                    <w:jc w:val="center"/>
                    <w:rPr>
                      <w:szCs w:val="21"/>
                    </w:rPr>
                  </w:pPr>
                  <w:r>
                    <w:rPr>
                      <w:szCs w:val="21"/>
                    </w:rPr>
                    <w:t>——</w:t>
                  </w:r>
                </w:p>
              </w:tc>
              <w:tc>
                <w:tcPr>
                  <w:tcW w:w="1019" w:type="dxa"/>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jc w:val="center"/>
              </w:trPr>
              <w:tc>
                <w:tcPr>
                  <w:tcW w:w="664" w:type="dxa"/>
                  <w:vAlign w:val="center"/>
                </w:tcPr>
                <w:p>
                  <w:pPr>
                    <w:jc w:val="center"/>
                    <w:rPr>
                      <w:szCs w:val="21"/>
                    </w:rPr>
                  </w:pPr>
                  <w:r>
                    <w:rPr>
                      <w:szCs w:val="21"/>
                    </w:rPr>
                    <w:t>环保</w:t>
                  </w:r>
                </w:p>
              </w:tc>
              <w:tc>
                <w:tcPr>
                  <w:tcW w:w="699" w:type="dxa"/>
                </w:tcPr>
                <w:p>
                  <w:pPr>
                    <w:jc w:val="center"/>
                    <w:rPr>
                      <w:szCs w:val="21"/>
                    </w:rPr>
                  </w:pPr>
                  <w:r>
                    <w:rPr>
                      <w:szCs w:val="21"/>
                    </w:rPr>
                    <w:t>——</w:t>
                  </w:r>
                </w:p>
              </w:tc>
              <w:tc>
                <w:tcPr>
                  <w:tcW w:w="1570" w:type="dxa"/>
                  <w:vAlign w:val="center"/>
                </w:tcPr>
                <w:p>
                  <w:pPr>
                    <w:jc w:val="center"/>
                    <w:rPr>
                      <w:szCs w:val="21"/>
                    </w:rPr>
                  </w:pPr>
                  <w:r>
                    <w:rPr>
                      <w:szCs w:val="21"/>
                    </w:rPr>
                    <w:t>——</w:t>
                  </w:r>
                </w:p>
              </w:tc>
              <w:tc>
                <w:tcPr>
                  <w:tcW w:w="1892" w:type="dxa"/>
                </w:tcPr>
                <w:p>
                  <w:pPr>
                    <w:jc w:val="center"/>
                    <w:rPr>
                      <w:szCs w:val="21"/>
                    </w:rPr>
                  </w:pPr>
                  <w:r>
                    <w:rPr>
                      <w:szCs w:val="21"/>
                    </w:rPr>
                    <w:t>——</w:t>
                  </w:r>
                </w:p>
              </w:tc>
              <w:tc>
                <w:tcPr>
                  <w:tcW w:w="1335" w:type="dxa"/>
                  <w:vAlign w:val="center"/>
                </w:tcPr>
                <w:p>
                  <w:pPr>
                    <w:jc w:val="center"/>
                    <w:rPr>
                      <w:szCs w:val="21"/>
                    </w:rPr>
                  </w:pPr>
                  <w:r>
                    <w:rPr>
                      <w:szCs w:val="21"/>
                    </w:rPr>
                    <w:t>——</w:t>
                  </w:r>
                </w:p>
              </w:tc>
              <w:tc>
                <w:tcPr>
                  <w:tcW w:w="1019" w:type="dxa"/>
                  <w:vAlign w:val="center"/>
                </w:tcPr>
                <w:p>
                  <w:pPr>
                    <w:jc w:val="center"/>
                    <w:rPr>
                      <w:szCs w:val="21"/>
                    </w:rPr>
                  </w:pPr>
                  <w:r>
                    <w:rPr>
                      <w:szCs w:val="21"/>
                    </w:rPr>
                    <w:t>——</w:t>
                  </w:r>
                </w:p>
              </w:tc>
            </w:tr>
          </w:tbl>
          <w:p>
            <w:pPr>
              <w:autoSpaceDE w:val="0"/>
              <w:autoSpaceDN w:val="0"/>
              <w:adjustRightInd w:val="0"/>
              <w:jc w:val="left"/>
              <w:rPr>
                <w:sz w:val="24"/>
              </w:rPr>
            </w:pPr>
          </w:p>
        </w:tc>
      </w:tr>
    </w:tbl>
    <w:p>
      <w:pPr>
        <w:rPr>
          <w:b/>
          <w:sz w:val="28"/>
        </w:rPr>
      </w:pPr>
      <w:r>
        <w:rPr>
          <w:rFonts w:hint="eastAsia"/>
          <w:b/>
          <w:sz w:val="28"/>
        </w:rPr>
        <w:t>续表一</w:t>
      </w:r>
    </w:p>
    <w:tbl>
      <w:tblPr>
        <w:tblStyle w:val="20"/>
        <w:tblpPr w:leftFromText="180" w:rightFromText="180" w:vertAnchor="text" w:tblpXSpec="center" w:tblpY="1"/>
        <w:tblOverlap w:val="never"/>
        <w:tblW w:w="94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22"/>
        <w:gridCol w:w="74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170" w:hRule="atLeast"/>
        </w:trPr>
        <w:tc>
          <w:tcPr>
            <w:tcW w:w="2022" w:type="dxa"/>
            <w:tcBorders>
              <w:top w:val="single" w:color="auto" w:sz="4" w:space="0"/>
              <w:left w:val="single" w:color="auto" w:sz="8" w:space="0"/>
              <w:bottom w:val="single" w:color="auto" w:sz="4" w:space="0"/>
              <w:right w:val="single" w:color="auto" w:sz="8" w:space="0"/>
            </w:tcBorders>
            <w:vAlign w:val="center"/>
          </w:tcPr>
          <w:p>
            <w:pPr>
              <w:adjustRightInd w:val="0"/>
              <w:snapToGrid w:val="0"/>
              <w:spacing w:line="360" w:lineRule="auto"/>
              <w:jc w:val="center"/>
              <w:rPr>
                <w:bCs/>
                <w:sz w:val="24"/>
              </w:rPr>
            </w:pPr>
            <w:r>
              <w:rPr>
                <w:bCs/>
                <w:sz w:val="24"/>
              </w:rPr>
              <w:t>工程基本情况</w:t>
            </w:r>
          </w:p>
        </w:tc>
        <w:tc>
          <w:tcPr>
            <w:tcW w:w="7405" w:type="dxa"/>
            <w:tcBorders>
              <w:top w:val="single" w:color="auto" w:sz="4" w:space="0"/>
              <w:left w:val="single" w:color="auto" w:sz="8" w:space="0"/>
              <w:bottom w:val="single" w:color="auto" w:sz="4" w:space="0"/>
              <w:right w:val="single" w:color="auto" w:sz="8" w:space="0"/>
            </w:tcBorders>
          </w:tcPr>
          <w:p>
            <w:pPr>
              <w:autoSpaceDE w:val="0"/>
              <w:autoSpaceDN w:val="0"/>
              <w:adjustRightInd w:val="0"/>
              <w:spacing w:line="360" w:lineRule="auto"/>
              <w:jc w:val="left"/>
              <w:rPr>
                <w:b/>
                <w:kern w:val="0"/>
                <w:sz w:val="24"/>
              </w:rPr>
            </w:pPr>
            <w:r>
              <w:rPr>
                <w:b/>
                <w:kern w:val="0"/>
                <w:sz w:val="24"/>
              </w:rPr>
              <w:t>7、</w:t>
            </w:r>
            <w:r>
              <w:rPr>
                <w:rFonts w:hint="eastAsia"/>
                <w:b/>
                <w:kern w:val="0"/>
                <w:sz w:val="24"/>
              </w:rPr>
              <w:t>公用工程</w:t>
            </w:r>
          </w:p>
          <w:p>
            <w:pPr>
              <w:adjustRightInd w:val="0"/>
              <w:snapToGrid w:val="0"/>
              <w:spacing w:line="360" w:lineRule="auto"/>
              <w:ind w:firstLine="480" w:firstLineChars="200"/>
              <w:rPr>
                <w:sz w:val="24"/>
              </w:rPr>
            </w:pPr>
            <w:r>
              <w:rPr>
                <w:sz w:val="24"/>
              </w:rPr>
              <w:t>员工日常生活用水来自市政供水，根据规划，本项目属于盐田污水处理厂处</w:t>
            </w:r>
          </w:p>
          <w:p>
            <w:pPr>
              <w:adjustRightInd w:val="0"/>
              <w:snapToGrid w:val="0"/>
              <w:spacing w:line="360" w:lineRule="auto"/>
              <w:rPr>
                <w:sz w:val="24"/>
              </w:rPr>
            </w:pPr>
            <w:r>
              <w:rPr>
                <w:sz w:val="24"/>
              </w:rPr>
              <w:t xml:space="preserve">理范围，所产生的生活污水经工业区化粪池预处理后排放到盐田污水处理厂处理。     </w:t>
            </w:r>
          </w:p>
          <w:p>
            <w:pPr>
              <w:adjustRightInd w:val="0"/>
              <w:snapToGrid w:val="0"/>
              <w:spacing w:line="360" w:lineRule="auto"/>
              <w:ind w:firstLine="600" w:firstLineChars="250"/>
              <w:rPr>
                <w:sz w:val="24"/>
              </w:rPr>
            </w:pPr>
            <w:r>
              <w:rPr>
                <w:sz w:val="24"/>
              </w:rPr>
              <w:t>运营所需电源由市政供电，不设备用发电机。</w:t>
            </w:r>
            <w:r>
              <w:rPr>
                <w:rFonts w:hAnsi="宋体"/>
                <w:sz w:val="24"/>
              </w:rPr>
              <w:t xml:space="preserve"> </w:t>
            </w:r>
          </w:p>
          <w:p>
            <w:pPr>
              <w:autoSpaceDE w:val="0"/>
              <w:autoSpaceDN w:val="0"/>
              <w:adjustRightInd w:val="0"/>
              <w:spacing w:line="360" w:lineRule="auto"/>
              <w:jc w:val="left"/>
              <w:rPr>
                <w:b/>
                <w:kern w:val="0"/>
                <w:sz w:val="24"/>
              </w:rPr>
            </w:pPr>
            <w:r>
              <w:rPr>
                <w:b/>
                <w:kern w:val="0"/>
                <w:sz w:val="24"/>
              </w:rPr>
              <w:t>8．劳动定员及工作制度</w:t>
            </w:r>
          </w:p>
          <w:p>
            <w:pPr>
              <w:adjustRightInd w:val="0"/>
              <w:snapToGrid w:val="0"/>
              <w:spacing w:line="360" w:lineRule="auto"/>
              <w:ind w:firstLine="480" w:firstLineChars="200"/>
              <w:rPr>
                <w:b/>
                <w:bCs/>
                <w:sz w:val="24"/>
              </w:rPr>
            </w:pPr>
            <w:r>
              <w:rPr>
                <w:sz w:val="24"/>
              </w:rPr>
              <w:t>本项目</w:t>
            </w:r>
            <w:r>
              <w:rPr>
                <w:rFonts w:hint="eastAsia"/>
                <w:sz w:val="24"/>
              </w:rPr>
              <w:t>建成投产</w:t>
            </w:r>
            <w:r>
              <w:rPr>
                <w:sz w:val="24"/>
              </w:rPr>
              <w:t>后员工人数</w:t>
            </w:r>
            <w:r>
              <w:rPr>
                <w:rFonts w:hint="eastAsia"/>
                <w:sz w:val="24"/>
              </w:rPr>
              <w:t>为400</w:t>
            </w:r>
            <w:r>
              <w:rPr>
                <w:sz w:val="24"/>
              </w:rPr>
              <w:t>人，年</w:t>
            </w:r>
            <w:r>
              <w:rPr>
                <w:rFonts w:hint="eastAsia"/>
                <w:sz w:val="24"/>
              </w:rPr>
              <w:t>运营</w:t>
            </w:r>
            <w:r>
              <w:rPr>
                <w:sz w:val="24"/>
              </w:rPr>
              <w:t>3</w:t>
            </w:r>
            <w:r>
              <w:rPr>
                <w:rFonts w:hint="eastAsia"/>
                <w:sz w:val="24"/>
              </w:rPr>
              <w:t>30</w:t>
            </w:r>
            <w:r>
              <w:rPr>
                <w:sz w:val="24"/>
              </w:rPr>
              <w:t>天，每日一班制，日工作8小时，员工食宿由</w:t>
            </w:r>
            <w:r>
              <w:rPr>
                <w:rFonts w:hint="eastAsia"/>
                <w:sz w:val="24"/>
              </w:rPr>
              <w:t>工业区</w:t>
            </w:r>
            <w:r>
              <w:rPr>
                <w:sz w:val="24"/>
              </w:rPr>
              <w:t>统一安排。</w:t>
            </w:r>
          </w:p>
          <w:p>
            <w:pPr>
              <w:autoSpaceDE w:val="0"/>
              <w:autoSpaceDN w:val="0"/>
              <w:adjustRightInd w:val="0"/>
              <w:spacing w:line="360" w:lineRule="auto"/>
              <w:jc w:val="left"/>
              <w:rPr>
                <w:b/>
                <w:kern w:val="0"/>
                <w:sz w:val="24"/>
              </w:rPr>
            </w:pPr>
            <w:r>
              <w:rPr>
                <w:rFonts w:hAnsi="宋体"/>
                <w:sz w:val="24"/>
              </w:rPr>
              <w:t xml:space="preserve"> </w:t>
            </w:r>
            <w:r>
              <w:rPr>
                <w:b/>
                <w:kern w:val="0"/>
                <w:sz w:val="24"/>
              </w:rPr>
              <w:t>9、</w:t>
            </w:r>
            <w:r>
              <w:rPr>
                <w:rFonts w:hint="eastAsia"/>
                <w:b/>
                <w:kern w:val="0"/>
                <w:sz w:val="24"/>
              </w:rPr>
              <w:t>环保工程</w:t>
            </w:r>
          </w:p>
          <w:p>
            <w:pPr>
              <w:adjustRightInd w:val="0"/>
              <w:snapToGrid w:val="0"/>
              <w:spacing w:line="480" w:lineRule="atLeast"/>
              <w:ind w:firstLine="482"/>
              <w:rPr>
                <w:kern w:val="0"/>
                <w:sz w:val="24"/>
                <w:szCs w:val="22"/>
              </w:rPr>
            </w:pPr>
            <w:r>
              <w:rPr>
                <w:rFonts w:hint="eastAsia"/>
                <w:kern w:val="0"/>
                <w:sz w:val="24"/>
                <w:szCs w:val="22"/>
              </w:rPr>
              <w:t>本项目废气有对应废气处理系统，详情如下表。</w:t>
            </w:r>
          </w:p>
          <w:p>
            <w:pPr>
              <w:autoSpaceDE w:val="0"/>
              <w:autoSpaceDN w:val="0"/>
              <w:adjustRightInd w:val="0"/>
              <w:spacing w:line="360" w:lineRule="auto"/>
              <w:jc w:val="center"/>
              <w:rPr>
                <w:b/>
                <w:kern w:val="0"/>
                <w:szCs w:val="21"/>
              </w:rPr>
            </w:pPr>
            <w:r>
              <w:rPr>
                <w:rFonts w:hint="eastAsia"/>
                <w:b/>
                <w:kern w:val="0"/>
                <w:szCs w:val="21"/>
              </w:rPr>
              <w:t>环保工程建设情况汇总</w:t>
            </w:r>
          </w:p>
          <w:tbl>
            <w:tblPr>
              <w:tblStyle w:val="20"/>
              <w:tblW w:w="7189"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821"/>
              <w:gridCol w:w="1116"/>
              <w:gridCol w:w="1220"/>
              <w:gridCol w:w="1506"/>
              <w:gridCol w:w="1247"/>
              <w:gridCol w:w="127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94" w:hRule="atLeast"/>
                <w:jc w:val="center"/>
              </w:trPr>
              <w:tc>
                <w:tcPr>
                  <w:tcW w:w="821" w:type="dxa"/>
                  <w:shd w:val="clear" w:color="auto" w:fill="auto"/>
                  <w:vAlign w:val="center"/>
                </w:tcPr>
                <w:p>
                  <w:pPr>
                    <w:widowControl/>
                    <w:jc w:val="center"/>
                    <w:textAlignment w:val="center"/>
                    <w:rPr>
                      <w:rFonts w:ascii="宋体" w:hAnsi="宋体" w:cs="宋体"/>
                      <w:b/>
                      <w:color w:val="000000"/>
                      <w:szCs w:val="21"/>
                    </w:rPr>
                  </w:pPr>
                  <w:r>
                    <w:rPr>
                      <w:rFonts w:hint="eastAsia" w:ascii="宋体" w:hAnsi="宋体" w:cs="宋体"/>
                      <w:b/>
                      <w:color w:val="000000"/>
                      <w:kern w:val="0"/>
                      <w:szCs w:val="21"/>
                    </w:rPr>
                    <w:t>序号</w:t>
                  </w:r>
                </w:p>
              </w:tc>
              <w:tc>
                <w:tcPr>
                  <w:tcW w:w="1116" w:type="dxa"/>
                  <w:shd w:val="clear" w:color="auto" w:fill="auto"/>
                  <w:vAlign w:val="center"/>
                </w:tcPr>
                <w:p>
                  <w:pPr>
                    <w:widowControl/>
                    <w:jc w:val="center"/>
                    <w:textAlignment w:val="center"/>
                    <w:rPr>
                      <w:rFonts w:ascii="宋体" w:hAnsi="宋体" w:cs="宋体"/>
                      <w:b/>
                      <w:color w:val="000000"/>
                      <w:szCs w:val="21"/>
                    </w:rPr>
                  </w:pPr>
                  <w:r>
                    <w:rPr>
                      <w:rFonts w:hint="eastAsia" w:ascii="宋体" w:hAnsi="宋体" w:cs="宋体"/>
                      <w:b/>
                      <w:color w:val="000000"/>
                      <w:szCs w:val="21"/>
                    </w:rPr>
                    <w:t>工艺</w:t>
                  </w:r>
                </w:p>
              </w:tc>
              <w:tc>
                <w:tcPr>
                  <w:tcW w:w="1220" w:type="dxa"/>
                  <w:shd w:val="clear" w:color="auto" w:fill="auto"/>
                  <w:vAlign w:val="center"/>
                </w:tcPr>
                <w:p>
                  <w:pPr>
                    <w:widowControl/>
                    <w:jc w:val="center"/>
                    <w:textAlignment w:val="center"/>
                    <w:rPr>
                      <w:rFonts w:ascii="宋体" w:hAnsi="宋体" w:cs="宋体"/>
                      <w:b/>
                      <w:color w:val="000000"/>
                      <w:szCs w:val="21"/>
                    </w:rPr>
                  </w:pPr>
                  <w:r>
                    <w:rPr>
                      <w:rFonts w:hint="eastAsia" w:ascii="宋体" w:hAnsi="宋体" w:cs="宋体"/>
                      <w:b/>
                      <w:color w:val="000000"/>
                      <w:szCs w:val="21"/>
                    </w:rPr>
                    <w:t>数量</w:t>
                  </w:r>
                </w:p>
              </w:tc>
              <w:tc>
                <w:tcPr>
                  <w:tcW w:w="1506" w:type="dxa"/>
                  <w:shd w:val="clear" w:color="auto" w:fill="auto"/>
                  <w:vAlign w:val="center"/>
                </w:tcPr>
                <w:p>
                  <w:pPr>
                    <w:widowControl/>
                    <w:jc w:val="center"/>
                    <w:textAlignment w:val="center"/>
                    <w:rPr>
                      <w:rFonts w:ascii="宋体" w:hAnsi="宋体" w:cs="宋体"/>
                      <w:b/>
                      <w:color w:val="000000"/>
                      <w:szCs w:val="21"/>
                    </w:rPr>
                  </w:pPr>
                  <w:r>
                    <w:rPr>
                      <w:rFonts w:hint="eastAsia" w:ascii="宋体" w:hAnsi="宋体" w:cs="宋体"/>
                      <w:b/>
                      <w:color w:val="000000"/>
                      <w:szCs w:val="21"/>
                    </w:rPr>
                    <w:t>环评设计治理设施</w:t>
                  </w:r>
                </w:p>
              </w:tc>
              <w:tc>
                <w:tcPr>
                  <w:tcW w:w="1247" w:type="dxa"/>
                  <w:vAlign w:val="center"/>
                </w:tcPr>
                <w:p>
                  <w:pPr>
                    <w:widowControl/>
                    <w:jc w:val="center"/>
                    <w:textAlignment w:val="center"/>
                    <w:rPr>
                      <w:rFonts w:ascii="宋体" w:hAnsi="宋体" w:cs="宋体"/>
                      <w:b/>
                      <w:color w:val="000000"/>
                      <w:szCs w:val="21"/>
                    </w:rPr>
                  </w:pPr>
                  <w:r>
                    <w:rPr>
                      <w:rFonts w:hint="eastAsia" w:ascii="宋体" w:hAnsi="宋体" w:cs="宋体"/>
                      <w:b/>
                      <w:color w:val="000000"/>
                      <w:szCs w:val="21"/>
                    </w:rPr>
                    <w:t>实际治理设施</w:t>
                  </w:r>
                </w:p>
              </w:tc>
              <w:tc>
                <w:tcPr>
                  <w:tcW w:w="1279" w:type="dxa"/>
                  <w:shd w:val="clear" w:color="auto" w:fill="auto"/>
                  <w:vAlign w:val="center"/>
                </w:tcPr>
                <w:p>
                  <w:pPr>
                    <w:widowControl/>
                    <w:jc w:val="center"/>
                    <w:textAlignment w:val="center"/>
                    <w:rPr>
                      <w:rFonts w:ascii="宋体" w:hAnsi="宋体" w:cs="宋体"/>
                      <w:b/>
                      <w:color w:val="000000"/>
                      <w:szCs w:val="21"/>
                    </w:rPr>
                  </w:pPr>
                  <w:r>
                    <w:rPr>
                      <w:rFonts w:hint="eastAsia" w:ascii="宋体" w:hAnsi="宋体" w:cs="宋体"/>
                      <w:b/>
                      <w:color w:val="000000"/>
                      <w:szCs w:val="21"/>
                    </w:rPr>
                    <w:t>与环评符合性说明</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94" w:hRule="atLeast"/>
                <w:jc w:val="center"/>
              </w:trPr>
              <w:tc>
                <w:tcPr>
                  <w:tcW w:w="82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16" w:type="dxa"/>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粘合和胶装工序</w:t>
                  </w:r>
                </w:p>
              </w:tc>
              <w:tc>
                <w:tcPr>
                  <w:tcW w:w="1220"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套</w:t>
                  </w:r>
                </w:p>
              </w:tc>
              <w:tc>
                <w:tcPr>
                  <w:tcW w:w="15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活性炭吸附</w:t>
                  </w:r>
                </w:p>
              </w:tc>
              <w:tc>
                <w:tcPr>
                  <w:tcW w:w="1247" w:type="dxa"/>
                  <w:vAlign w:val="center"/>
                </w:tcPr>
                <w:p>
                  <w:pPr>
                    <w:jc w:val="center"/>
                    <w:rPr>
                      <w:rFonts w:ascii="宋体" w:hAnsi="宋体" w:cs="宋体"/>
                      <w:color w:val="000000"/>
                      <w:szCs w:val="21"/>
                    </w:rPr>
                  </w:pPr>
                  <w:r>
                    <w:rPr>
                      <w:rFonts w:hint="eastAsia" w:ascii="宋体" w:hAnsi="宋体" w:cs="宋体"/>
                      <w:color w:val="000000"/>
                      <w:szCs w:val="21"/>
                    </w:rPr>
                    <w:t>活性炭吸附</w:t>
                  </w:r>
                </w:p>
              </w:tc>
              <w:tc>
                <w:tcPr>
                  <w:tcW w:w="1279" w:type="dxa"/>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符合</w:t>
                  </w:r>
                </w:p>
              </w:tc>
            </w:tr>
          </w:tbl>
          <w:p>
            <w:pPr>
              <w:adjustRightInd w:val="0"/>
              <w:snapToGrid w:val="0"/>
              <w:spacing w:line="480" w:lineRule="atLeast"/>
              <w:ind w:firstLine="482"/>
              <w:rPr>
                <w:sz w:val="24"/>
              </w:rPr>
            </w:pPr>
          </w:p>
        </w:tc>
      </w:tr>
    </w:tbl>
    <w:p>
      <w:pPr>
        <w:rPr>
          <w:b/>
          <w:sz w:val="28"/>
        </w:rPr>
        <w:sectPr>
          <w:pgSz w:w="11906" w:h="16838"/>
          <w:pgMar w:top="1077" w:right="1418" w:bottom="471" w:left="1418" w:header="851" w:footer="992" w:gutter="0"/>
          <w:pgNumType w:fmt="decimal"/>
          <w:cols w:space="720" w:num="1"/>
          <w:docGrid w:type="lines" w:linePitch="312" w:charSpace="0"/>
        </w:sectPr>
      </w:pPr>
    </w:p>
    <w:p>
      <w:pPr>
        <w:rPr>
          <w:b/>
          <w:sz w:val="28"/>
        </w:rPr>
      </w:pPr>
      <w:r>
        <w:rPr>
          <w:b/>
          <w:sz w:val="28"/>
        </w:rPr>
        <w:t>续表一</w:t>
      </w:r>
    </w:p>
    <w:tbl>
      <w:tblPr>
        <w:tblStyle w:val="20"/>
        <w:tblW w:w="93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8"/>
        <w:gridCol w:w="7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585" w:hRule="atLeast"/>
          <w:jc w:val="center"/>
        </w:trPr>
        <w:tc>
          <w:tcPr>
            <w:tcW w:w="1788" w:type="dxa"/>
            <w:tcBorders>
              <w:top w:val="single" w:color="auto" w:sz="8" w:space="0"/>
              <w:left w:val="single" w:color="auto" w:sz="8" w:space="0"/>
              <w:bottom w:val="single" w:color="auto" w:sz="8" w:space="0"/>
              <w:right w:val="single" w:color="auto" w:sz="8" w:space="0"/>
            </w:tcBorders>
            <w:vAlign w:val="center"/>
          </w:tcPr>
          <w:p>
            <w:pPr>
              <w:adjustRightInd w:val="0"/>
              <w:jc w:val="center"/>
              <w:rPr>
                <w:kern w:val="0"/>
                <w:sz w:val="24"/>
              </w:rPr>
            </w:pPr>
            <w:r>
              <w:rPr>
                <w:kern w:val="0"/>
                <w:sz w:val="24"/>
              </w:rPr>
              <w:t>营运期环境影响评价结论</w:t>
            </w:r>
          </w:p>
        </w:tc>
        <w:tc>
          <w:tcPr>
            <w:tcW w:w="7553" w:type="dxa"/>
            <w:tcBorders>
              <w:top w:val="single" w:color="auto" w:sz="8" w:space="0"/>
              <w:left w:val="single" w:color="auto" w:sz="8" w:space="0"/>
              <w:bottom w:val="single" w:color="auto" w:sz="4" w:space="0"/>
              <w:right w:val="single" w:color="auto" w:sz="8" w:space="0"/>
            </w:tcBorders>
          </w:tcPr>
          <w:p>
            <w:pPr>
              <w:adjustRightInd w:val="0"/>
              <w:snapToGrid w:val="0"/>
              <w:spacing w:before="156" w:beforeLines="50" w:line="360" w:lineRule="auto"/>
              <w:ind w:firstLine="482" w:firstLineChars="200"/>
              <w:rPr>
                <w:b/>
                <w:bCs/>
                <w:sz w:val="24"/>
              </w:rPr>
            </w:pPr>
            <w:r>
              <w:rPr>
                <w:b/>
                <w:bCs/>
                <w:sz w:val="24"/>
              </w:rPr>
              <w:t>1、水环境影响分析</w:t>
            </w:r>
          </w:p>
          <w:p>
            <w:pPr>
              <w:snapToGrid w:val="0"/>
              <w:spacing w:line="360" w:lineRule="auto"/>
              <w:ind w:firstLine="480" w:firstLineChars="200"/>
              <w:rPr>
                <w:color w:val="000000"/>
                <w:sz w:val="24"/>
              </w:rPr>
            </w:pPr>
            <w:r>
              <w:rPr>
                <w:rFonts w:hint="eastAsia"/>
                <w:color w:val="000000"/>
                <w:sz w:val="24"/>
              </w:rPr>
              <w:t>工业废水：本项目生产过程中无工业废水排放。</w:t>
            </w:r>
            <w:r>
              <w:rPr>
                <w:color w:val="000000"/>
                <w:sz w:val="24"/>
              </w:rPr>
              <w:t xml:space="preserve"> </w:t>
            </w:r>
          </w:p>
          <w:p>
            <w:pPr>
              <w:spacing w:line="360" w:lineRule="auto"/>
              <w:ind w:firstLine="480" w:firstLineChars="200"/>
              <w:rPr>
                <w:rFonts w:hAnsi="宋体"/>
                <w:bCs/>
                <w:color w:val="000000"/>
                <w:sz w:val="24"/>
              </w:rPr>
            </w:pPr>
            <w:r>
              <w:rPr>
                <w:rFonts w:hint="eastAsia"/>
                <w:color w:val="000000"/>
                <w:sz w:val="24"/>
              </w:rPr>
              <w:t>生活污水：项目</w:t>
            </w:r>
            <w:r>
              <w:rPr>
                <w:rFonts w:hint="eastAsia" w:hAnsi="宋体"/>
                <w:bCs/>
                <w:color w:val="000000"/>
                <w:sz w:val="24"/>
              </w:rPr>
              <w:t>员工日常生活污水产生量约14</w:t>
            </w:r>
            <w:r>
              <w:rPr>
                <w:rFonts w:hAnsi="宋体"/>
                <w:bCs/>
                <w:color w:val="000000"/>
                <w:sz w:val="24"/>
              </w:rPr>
              <w:t>.</w:t>
            </w:r>
            <w:r>
              <w:rPr>
                <w:rFonts w:hint="eastAsia" w:hAnsi="宋体"/>
                <w:bCs/>
                <w:color w:val="000000"/>
                <w:sz w:val="24"/>
              </w:rPr>
              <w:t>4</w:t>
            </w:r>
            <w:r>
              <w:rPr>
                <w:rFonts w:hAnsi="宋体"/>
                <w:bCs/>
                <w:color w:val="000000"/>
                <w:sz w:val="24"/>
              </w:rPr>
              <w:t>t/d</w:t>
            </w:r>
            <w:r>
              <w:rPr>
                <w:rFonts w:hint="eastAsia" w:hAnsi="宋体"/>
                <w:bCs/>
                <w:color w:val="000000"/>
                <w:sz w:val="24"/>
              </w:rPr>
              <w:t>。</w:t>
            </w:r>
            <w:r>
              <w:rPr>
                <w:rFonts w:hAnsi="宋体"/>
                <w:bCs/>
                <w:color w:val="000000"/>
                <w:sz w:val="24"/>
              </w:rPr>
              <w:t>项目</w:t>
            </w:r>
            <w:r>
              <w:rPr>
                <w:rFonts w:hint="eastAsia" w:hAnsi="宋体"/>
                <w:bCs/>
                <w:color w:val="000000"/>
                <w:sz w:val="24"/>
              </w:rPr>
              <w:t>所产生的生活污水经工业区化粪池处理后通过市政管网排入盐田污水处理厂</w:t>
            </w:r>
            <w:r>
              <w:rPr>
                <w:rFonts w:hAnsi="宋体"/>
                <w:bCs/>
                <w:color w:val="000000"/>
                <w:sz w:val="24"/>
              </w:rPr>
              <w:t>。</w:t>
            </w:r>
          </w:p>
          <w:p>
            <w:pPr>
              <w:spacing w:line="360" w:lineRule="auto"/>
              <w:ind w:firstLine="480" w:firstLineChars="200"/>
              <w:rPr>
                <w:rFonts w:hAnsi="宋体"/>
                <w:bCs/>
                <w:color w:val="000000"/>
                <w:sz w:val="24"/>
              </w:rPr>
            </w:pPr>
            <w:r>
              <w:rPr>
                <w:rFonts w:hAnsi="宋体"/>
                <w:bCs/>
                <w:color w:val="000000"/>
                <w:sz w:val="24"/>
              </w:rPr>
              <w:t>本评价以生活污水中常</w:t>
            </w:r>
            <w:r>
              <w:rPr>
                <w:rFonts w:hint="eastAsia" w:hAnsi="宋体"/>
                <w:bCs/>
                <w:color w:val="000000"/>
                <w:sz w:val="24"/>
              </w:rPr>
              <w:t>规</w:t>
            </w:r>
            <w:r>
              <w:rPr>
                <w:rFonts w:hAnsi="宋体"/>
                <w:bCs/>
                <w:color w:val="000000"/>
                <w:sz w:val="24"/>
              </w:rPr>
              <w:t>浓度作为预测指标，主要污染物CODCr、 BOD5、氨氮、总磷的浓度分别为400mg/L、200mg/L、</w:t>
            </w:r>
            <w:r>
              <w:rPr>
                <w:rFonts w:hint="eastAsia" w:hAnsi="宋体"/>
                <w:bCs/>
                <w:color w:val="000000"/>
                <w:sz w:val="24"/>
              </w:rPr>
              <w:t>25</w:t>
            </w:r>
            <w:r>
              <w:rPr>
                <w:rFonts w:hAnsi="宋体"/>
                <w:bCs/>
                <w:color w:val="000000"/>
                <w:sz w:val="24"/>
              </w:rPr>
              <w:t>mg/L、8mg/L。化粪池对CODCr、BOD5的除去率约15%，其出水中COD</w:t>
            </w:r>
            <w:r>
              <w:rPr>
                <w:rFonts w:hAnsi="宋体"/>
                <w:bCs/>
                <w:color w:val="000000"/>
                <w:sz w:val="24"/>
                <w:vertAlign w:val="subscript"/>
              </w:rPr>
              <w:t>Cr</w:t>
            </w:r>
            <w:r>
              <w:rPr>
                <w:rFonts w:hAnsi="宋体"/>
                <w:bCs/>
                <w:color w:val="000000"/>
                <w:sz w:val="24"/>
              </w:rPr>
              <w:t>、BOD</w:t>
            </w:r>
            <w:r>
              <w:rPr>
                <w:rFonts w:hAnsi="宋体"/>
                <w:bCs/>
                <w:color w:val="000000"/>
                <w:sz w:val="24"/>
                <w:vertAlign w:val="subscript"/>
              </w:rPr>
              <w:t>5</w:t>
            </w:r>
            <w:r>
              <w:rPr>
                <w:rFonts w:hAnsi="宋体"/>
                <w:bCs/>
                <w:color w:val="000000"/>
                <w:sz w:val="24"/>
              </w:rPr>
              <w:t>污染物浓度分别为340mg/L、170mg/L，</w:t>
            </w:r>
            <w:r>
              <w:rPr>
                <w:rFonts w:hint="eastAsia" w:hAnsi="宋体"/>
                <w:bCs/>
                <w:color w:val="000000"/>
                <w:sz w:val="24"/>
              </w:rPr>
              <w:t>因此，项目污水经化粪池处理后可以满足《水污染物排放限值》（DB44/26-2001</w:t>
            </w:r>
            <w:r>
              <w:rPr>
                <w:rFonts w:hAnsi="宋体"/>
                <w:bCs/>
                <w:color w:val="000000"/>
                <w:sz w:val="24"/>
              </w:rPr>
              <w:t>）</w:t>
            </w:r>
            <w:r>
              <w:rPr>
                <w:rFonts w:hint="eastAsia" w:hAnsi="宋体"/>
                <w:bCs/>
                <w:color w:val="000000"/>
                <w:sz w:val="24"/>
              </w:rPr>
              <w:t>第二时段三级标准，因而项目生活污水对当地水环境产生的影响较小。</w:t>
            </w:r>
          </w:p>
          <w:p>
            <w:pPr>
              <w:snapToGrid w:val="0"/>
              <w:spacing w:line="360" w:lineRule="auto"/>
              <w:ind w:firstLine="482" w:firstLineChars="200"/>
              <w:rPr>
                <w:color w:val="000000"/>
                <w:sz w:val="24"/>
              </w:rPr>
            </w:pPr>
            <w:r>
              <w:rPr>
                <w:b/>
                <w:bCs/>
                <w:color w:val="000000"/>
                <w:sz w:val="24"/>
              </w:rPr>
              <w:t>2</w:t>
            </w:r>
            <w:r>
              <w:rPr>
                <w:rFonts w:hint="eastAsia"/>
                <w:b/>
                <w:bCs/>
                <w:color w:val="000000"/>
                <w:sz w:val="24"/>
              </w:rPr>
              <w:t>、大气环境影响分析</w:t>
            </w:r>
          </w:p>
          <w:p>
            <w:pPr>
              <w:adjustRightInd w:val="0"/>
              <w:snapToGrid w:val="0"/>
              <w:spacing w:line="360" w:lineRule="auto"/>
              <w:ind w:firstLine="480" w:firstLineChars="200"/>
              <w:rPr>
                <w:sz w:val="24"/>
              </w:rPr>
            </w:pPr>
            <w:r>
              <w:rPr>
                <w:rFonts w:hint="eastAsia" w:hAnsi="宋体"/>
                <w:bCs/>
                <w:color w:val="000000"/>
                <w:sz w:val="24"/>
              </w:rPr>
              <w:t>项目生产过程中废气主要来自粘合和胶装</w:t>
            </w:r>
            <w:r>
              <w:rPr>
                <w:rFonts w:hint="eastAsia"/>
                <w:kern w:val="0"/>
                <w:sz w:val="24"/>
              </w:rPr>
              <w:t>废气</w:t>
            </w:r>
            <w:r>
              <w:rPr>
                <w:rFonts w:hint="eastAsia"/>
                <w:kern w:val="0"/>
                <w:sz w:val="24"/>
                <w:lang w:val="en-IE"/>
              </w:rPr>
              <w:t>，</w:t>
            </w:r>
            <w:r>
              <w:rPr>
                <w:rFonts w:hint="eastAsia"/>
                <w:kern w:val="0"/>
                <w:sz w:val="24"/>
              </w:rPr>
              <w:t>废气成份主要是非甲烷总烃。</w:t>
            </w:r>
            <w:r>
              <w:rPr>
                <w:rFonts w:hint="eastAsia"/>
                <w:sz w:val="24"/>
              </w:rPr>
              <w:t>根据</w:t>
            </w:r>
            <w:r>
              <w:rPr>
                <w:rFonts w:hint="eastAsia"/>
                <w:sz w:val="24"/>
                <w:lang w:val="en-IE"/>
              </w:rPr>
              <w:t>前面公式：</w:t>
            </w:r>
            <w:r>
              <w:rPr>
                <w:sz w:val="24"/>
              </w:rPr>
              <w:t>G=</w:t>
            </w:r>
            <w:r>
              <w:rPr>
                <w:rFonts w:hint="eastAsia"/>
                <w:sz w:val="24"/>
              </w:rPr>
              <w:t>（</w:t>
            </w:r>
            <w:r>
              <w:rPr>
                <w:sz w:val="24"/>
              </w:rPr>
              <w:t>m</w:t>
            </w:r>
            <w:r>
              <w:rPr>
                <w:sz w:val="24"/>
                <w:vertAlign w:val="subscript"/>
              </w:rPr>
              <w:t>1</w:t>
            </w:r>
            <w:r>
              <w:rPr>
                <w:sz w:val="24"/>
              </w:rPr>
              <w:t>×A</w:t>
            </w:r>
            <w:r>
              <w:rPr>
                <w:sz w:val="24"/>
                <w:vertAlign w:val="subscript"/>
              </w:rPr>
              <w:t>1</w:t>
            </w:r>
            <w:r>
              <w:rPr>
                <w:sz w:val="24"/>
              </w:rPr>
              <w:t>+ m</w:t>
            </w:r>
            <w:r>
              <w:rPr>
                <w:sz w:val="24"/>
                <w:vertAlign w:val="subscript"/>
              </w:rPr>
              <w:t>2</w:t>
            </w:r>
            <w:r>
              <w:rPr>
                <w:sz w:val="24"/>
              </w:rPr>
              <w:t>×A</w:t>
            </w:r>
            <w:r>
              <w:rPr>
                <w:sz w:val="24"/>
                <w:vertAlign w:val="subscript"/>
              </w:rPr>
              <w:t>2</w:t>
            </w:r>
            <w:r>
              <w:rPr>
                <w:sz w:val="24"/>
              </w:rPr>
              <w:t>+…+ mx×Ax</w:t>
            </w:r>
            <w:r>
              <w:rPr>
                <w:rFonts w:hint="eastAsia"/>
                <w:sz w:val="24"/>
              </w:rPr>
              <w:t>）</w:t>
            </w:r>
            <w:r>
              <w:rPr>
                <w:sz w:val="24"/>
              </w:rPr>
              <w:t>×η1×</w:t>
            </w:r>
            <w:r>
              <w:rPr>
                <w:rFonts w:hint="eastAsia"/>
                <w:sz w:val="24"/>
              </w:rPr>
              <w:t>（</w:t>
            </w:r>
            <w:r>
              <w:rPr>
                <w:sz w:val="24"/>
              </w:rPr>
              <w:t>1-η2</w:t>
            </w:r>
            <w:r>
              <w:rPr>
                <w:rFonts w:hint="eastAsia"/>
                <w:sz w:val="24"/>
              </w:rPr>
              <w:t>）</w:t>
            </w:r>
            <w:r>
              <w:rPr>
                <w:rFonts w:hint="eastAsia"/>
                <w:kern w:val="0"/>
                <w:sz w:val="24"/>
              </w:rPr>
              <w:t>计算</w:t>
            </w:r>
            <w:r>
              <w:rPr>
                <w:kern w:val="0"/>
                <w:sz w:val="24"/>
              </w:rPr>
              <w:t>，项目</w:t>
            </w:r>
            <w:r>
              <w:rPr>
                <w:rFonts w:hint="eastAsia"/>
                <w:kern w:val="0"/>
                <w:sz w:val="24"/>
              </w:rPr>
              <w:t>热熔胶</w:t>
            </w:r>
            <w:r>
              <w:rPr>
                <w:kern w:val="0"/>
                <w:sz w:val="24"/>
              </w:rPr>
              <w:t>用量约</w:t>
            </w:r>
            <w:r>
              <w:rPr>
                <w:rFonts w:hint="eastAsia"/>
                <w:kern w:val="0"/>
                <w:sz w:val="24"/>
              </w:rPr>
              <w:t>4000kg/</w:t>
            </w:r>
            <w:r>
              <w:rPr>
                <w:kern w:val="0"/>
                <w:sz w:val="24"/>
              </w:rPr>
              <w:t>a</w:t>
            </w:r>
            <w:r>
              <w:rPr>
                <w:rFonts w:hint="eastAsia"/>
                <w:kern w:val="0"/>
                <w:sz w:val="24"/>
              </w:rPr>
              <w:t>，白乳胶年用量为5000kg/a，则非甲烷总烃</w:t>
            </w:r>
            <w:r>
              <w:rPr>
                <w:kern w:val="0"/>
                <w:sz w:val="24"/>
              </w:rPr>
              <w:t>的产生量约</w:t>
            </w:r>
            <w:r>
              <w:rPr>
                <w:rFonts w:hint="eastAsia"/>
                <w:kern w:val="0"/>
                <w:sz w:val="24"/>
              </w:rPr>
              <w:t>为1.8kg/a，产生</w:t>
            </w:r>
            <w:r>
              <w:rPr>
                <w:kern w:val="0"/>
                <w:sz w:val="24"/>
              </w:rPr>
              <w:t>速率为0</w:t>
            </w:r>
            <w:r>
              <w:rPr>
                <w:rFonts w:hint="eastAsia"/>
                <w:kern w:val="0"/>
                <w:sz w:val="24"/>
              </w:rPr>
              <w:t>.</w:t>
            </w:r>
            <w:r>
              <w:rPr>
                <w:kern w:val="0"/>
                <w:sz w:val="24"/>
              </w:rPr>
              <w:t>6818g/h</w:t>
            </w:r>
            <w:r>
              <w:rPr>
                <w:rFonts w:hint="eastAsia"/>
                <w:kern w:val="0"/>
                <w:sz w:val="24"/>
              </w:rPr>
              <w:t>，项目车间排气量约为1000m</w:t>
            </w:r>
            <w:r>
              <w:rPr>
                <w:rFonts w:hint="eastAsia"/>
                <w:kern w:val="0"/>
                <w:sz w:val="24"/>
                <w:vertAlign w:val="superscript"/>
              </w:rPr>
              <w:t>3</w:t>
            </w:r>
            <w:r>
              <w:rPr>
                <w:rFonts w:hint="eastAsia"/>
                <w:kern w:val="0"/>
                <w:sz w:val="24"/>
              </w:rPr>
              <w:t>/h，则非甲烷总烃的产生浓度为</w:t>
            </w:r>
            <w:r>
              <w:rPr>
                <w:sz w:val="24"/>
              </w:rPr>
              <w:t>0</w:t>
            </w:r>
            <w:r>
              <w:rPr>
                <w:rFonts w:hint="eastAsia"/>
                <w:sz w:val="24"/>
              </w:rPr>
              <w:t>.</w:t>
            </w:r>
            <w:r>
              <w:rPr>
                <w:sz w:val="24"/>
              </w:rPr>
              <w:t>6818</w:t>
            </w:r>
            <w:r>
              <w:rPr>
                <w:rFonts w:hint="eastAsia"/>
                <w:kern w:val="0"/>
                <w:sz w:val="24"/>
              </w:rPr>
              <w:t>mg/m</w:t>
            </w:r>
            <w:r>
              <w:rPr>
                <w:rFonts w:hint="eastAsia"/>
                <w:kern w:val="0"/>
                <w:sz w:val="24"/>
                <w:vertAlign w:val="superscript"/>
              </w:rPr>
              <w:t>3</w:t>
            </w:r>
            <w:r>
              <w:rPr>
                <w:rFonts w:hint="eastAsia"/>
                <w:kern w:val="0"/>
                <w:sz w:val="24"/>
              </w:rPr>
              <w:t>。</w:t>
            </w:r>
          </w:p>
          <w:p>
            <w:pPr>
              <w:adjustRightInd w:val="0"/>
              <w:snapToGrid w:val="0"/>
              <w:spacing w:line="360" w:lineRule="auto"/>
              <w:ind w:firstLine="480" w:firstLineChars="200"/>
              <w:rPr>
                <w:sz w:val="24"/>
              </w:rPr>
            </w:pPr>
            <w:r>
              <w:rPr>
                <w:rFonts w:hint="eastAsia"/>
                <w:sz w:val="24"/>
              </w:rPr>
              <w:t>本项目</w:t>
            </w:r>
            <w:r>
              <w:rPr>
                <w:rFonts w:hint="eastAsia" w:hAnsi="宋体"/>
                <w:bCs/>
                <w:sz w:val="24"/>
              </w:rPr>
              <w:t>粘合和胶装工序</w:t>
            </w:r>
            <w:r>
              <w:rPr>
                <w:rFonts w:hint="eastAsia"/>
                <w:sz w:val="24"/>
              </w:rPr>
              <w:t>位于厂房的三楼，</w:t>
            </w:r>
            <w:r>
              <w:rPr>
                <w:rFonts w:hint="eastAsia"/>
                <w:kern w:val="0"/>
                <w:sz w:val="24"/>
              </w:rPr>
              <w:t>排气筒高度为9米</w:t>
            </w:r>
            <w:r>
              <w:rPr>
                <w:rFonts w:hint="eastAsia"/>
                <w:sz w:val="24"/>
              </w:rPr>
              <w:t>，低于广东省地方标准</w:t>
            </w:r>
            <w:r>
              <w:rPr>
                <w:sz w:val="24"/>
              </w:rPr>
              <w:t>《大气污染物排放限值》（DB44/27-2001）中</w:t>
            </w:r>
            <w:r>
              <w:rPr>
                <w:rFonts w:hint="eastAsia"/>
                <w:sz w:val="24"/>
              </w:rPr>
              <w:t>15米的最低要求，因此其</w:t>
            </w:r>
            <w:r>
              <w:rPr>
                <w:sz w:val="24"/>
              </w:rPr>
              <w:t>第二时段二级标</w:t>
            </w:r>
            <w:r>
              <w:rPr>
                <w:rFonts w:hint="eastAsia"/>
                <w:sz w:val="24"/>
              </w:rPr>
              <w:t>准的最高允许排放速率按照该标准中“外推法”计算结果的50%执行且应比周边200米范围内建筑高出5米，否则还要再低50%执行，该项目低于东北侧25米处的保发大厦高度，则非甲烷总</w:t>
            </w:r>
            <w:r>
              <w:rPr>
                <w:rFonts w:hint="eastAsia" w:hAnsi="宋体"/>
                <w:sz w:val="24"/>
              </w:rPr>
              <w:t>烃</w:t>
            </w:r>
            <w:r>
              <w:rPr>
                <w:rFonts w:hint="eastAsia"/>
                <w:sz w:val="24"/>
              </w:rPr>
              <w:t>在此高度下的标准排放速率还要再低50%执行，为</w:t>
            </w:r>
            <w:r>
              <w:rPr>
                <w:rFonts w:hint="eastAsia" w:ascii="宋体" w:hAnsi="宋体"/>
                <w:sz w:val="24"/>
              </w:rPr>
              <w:t>≤1</w:t>
            </w:r>
            <w:r>
              <w:rPr>
                <w:rFonts w:hint="eastAsia"/>
                <w:sz w:val="24"/>
              </w:rPr>
              <w:t>.15kg/h。由上述计算结果可知，本项目在加强车间通风，安装集气装置，将废气集中收集通过活性碳吸附处理后管道楼顶排放，其排放速率和排放浓度均能达到广东省地方标准</w:t>
            </w:r>
            <w:r>
              <w:rPr>
                <w:sz w:val="24"/>
              </w:rPr>
              <w:t>《大气污染物排放限值》（DB44/27-2001）第二时段二级</w:t>
            </w:r>
            <w:r>
              <w:rPr>
                <w:rFonts w:hint="eastAsia"/>
                <w:sz w:val="24"/>
              </w:rPr>
              <w:t>标准要求。</w:t>
            </w:r>
          </w:p>
          <w:p>
            <w:pPr>
              <w:adjustRightInd w:val="0"/>
              <w:snapToGrid w:val="0"/>
              <w:spacing w:line="360" w:lineRule="auto"/>
              <w:ind w:firstLine="480" w:firstLineChars="200"/>
              <w:rPr>
                <w:sz w:val="24"/>
              </w:rPr>
            </w:pPr>
            <w:r>
              <w:rPr>
                <w:rFonts w:hint="eastAsia"/>
                <w:sz w:val="24"/>
              </w:rPr>
              <w:t>项目仓储配送过程所产生的废气</w:t>
            </w:r>
            <w:r>
              <w:rPr>
                <w:sz w:val="24"/>
              </w:rPr>
              <w:t>主要来</w:t>
            </w:r>
            <w:r>
              <w:rPr>
                <w:rFonts w:hint="eastAsia"/>
                <w:sz w:val="24"/>
              </w:rPr>
              <w:t>自货车出入产生的汽车尾气，其主要污染因子为CO、氮氧化物。本项目运营期内货车载货次数频率较少，因此汽车尾气产生量较少，且只是间歇性的产生，属无组织</w:t>
            </w:r>
          </w:p>
        </w:tc>
      </w:tr>
    </w:tbl>
    <w:p>
      <w:pPr>
        <w:sectPr>
          <w:pgSz w:w="11906" w:h="16838"/>
          <w:pgMar w:top="1077" w:right="1418" w:bottom="471" w:left="1418" w:header="851" w:footer="992" w:gutter="0"/>
          <w:pgNumType w:fmt="decimal"/>
          <w:cols w:space="720" w:num="1"/>
          <w:docGrid w:type="lines" w:linePitch="312" w:charSpace="0"/>
        </w:sectPr>
      </w:pPr>
    </w:p>
    <w:p>
      <w:pPr>
        <w:rPr>
          <w:b/>
          <w:sz w:val="28"/>
        </w:rPr>
      </w:pPr>
      <w:r>
        <w:rPr>
          <w:b/>
          <w:sz w:val="28"/>
        </w:rPr>
        <w:t>续表一</w:t>
      </w:r>
    </w:p>
    <w:tbl>
      <w:tblPr>
        <w:tblStyle w:val="20"/>
        <w:tblW w:w="93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8"/>
        <w:gridCol w:w="7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585" w:hRule="atLeast"/>
          <w:jc w:val="center"/>
        </w:trPr>
        <w:tc>
          <w:tcPr>
            <w:tcW w:w="1788" w:type="dxa"/>
            <w:tcBorders>
              <w:top w:val="single" w:color="auto" w:sz="8" w:space="0"/>
              <w:left w:val="single" w:color="auto" w:sz="8" w:space="0"/>
              <w:bottom w:val="single" w:color="auto" w:sz="8" w:space="0"/>
              <w:right w:val="single" w:color="auto" w:sz="8" w:space="0"/>
            </w:tcBorders>
            <w:vAlign w:val="center"/>
          </w:tcPr>
          <w:p>
            <w:pPr>
              <w:adjustRightInd w:val="0"/>
              <w:jc w:val="center"/>
              <w:rPr>
                <w:kern w:val="0"/>
                <w:sz w:val="24"/>
              </w:rPr>
            </w:pPr>
            <w:r>
              <w:rPr>
                <w:kern w:val="0"/>
                <w:sz w:val="24"/>
              </w:rPr>
              <w:t>营运期环境影响评价结论</w:t>
            </w:r>
          </w:p>
        </w:tc>
        <w:tc>
          <w:tcPr>
            <w:tcW w:w="7553" w:type="dxa"/>
            <w:tcBorders>
              <w:top w:val="single" w:color="auto" w:sz="8" w:space="0"/>
              <w:left w:val="single" w:color="auto" w:sz="8" w:space="0"/>
              <w:bottom w:val="single" w:color="auto" w:sz="4" w:space="0"/>
              <w:right w:val="single" w:color="auto" w:sz="8" w:space="0"/>
            </w:tcBorders>
          </w:tcPr>
          <w:p>
            <w:pPr>
              <w:adjustRightInd w:val="0"/>
              <w:snapToGrid w:val="0"/>
              <w:spacing w:line="360" w:lineRule="auto"/>
              <w:ind w:firstLine="480" w:firstLineChars="200"/>
              <w:rPr>
                <w:sz w:val="24"/>
              </w:rPr>
            </w:pPr>
            <w:r>
              <w:rPr>
                <w:rFonts w:hint="eastAsia"/>
                <w:sz w:val="24"/>
              </w:rPr>
              <w:t>形式排放，因此这部分废气对周边大气环境的影响较小。</w:t>
            </w:r>
          </w:p>
          <w:p>
            <w:pPr>
              <w:spacing w:line="360" w:lineRule="auto"/>
              <w:ind w:left="480"/>
              <w:rPr>
                <w:b/>
                <w:bCs/>
                <w:sz w:val="24"/>
              </w:rPr>
            </w:pPr>
            <w:r>
              <w:rPr>
                <w:b/>
                <w:bCs/>
                <w:sz w:val="24"/>
              </w:rPr>
              <w:t>3</w:t>
            </w:r>
            <w:r>
              <w:rPr>
                <w:rFonts w:hint="eastAsia"/>
                <w:b/>
                <w:bCs/>
                <w:sz w:val="24"/>
              </w:rPr>
              <w:t>、声环境影响分析</w:t>
            </w:r>
          </w:p>
          <w:p>
            <w:pPr>
              <w:spacing w:line="360" w:lineRule="auto"/>
              <w:ind w:firstLine="489" w:firstLineChars="204"/>
              <w:jc w:val="left"/>
              <w:rPr>
                <w:kern w:val="0"/>
                <w:sz w:val="24"/>
              </w:rPr>
            </w:pPr>
            <w:r>
              <w:rPr>
                <w:sz w:val="24"/>
              </w:rPr>
              <w:t>项目生产过程中产生噪声设备主要为</w:t>
            </w:r>
            <w:r>
              <w:rPr>
                <w:rFonts w:hint="eastAsia"/>
                <w:sz w:val="24"/>
              </w:rPr>
              <w:t>气钉枪、铆钉机、压痕机、分切机、折边机、打孔机、空压机所</w:t>
            </w:r>
            <w:r>
              <w:rPr>
                <w:sz w:val="24"/>
              </w:rPr>
              <w:t>产生的噪声等，在正常工况下，噪声值约</w:t>
            </w:r>
            <w:r>
              <w:rPr>
                <w:rFonts w:hint="eastAsia"/>
                <w:sz w:val="24"/>
              </w:rPr>
              <w:t>68-</w:t>
            </w:r>
            <w:r>
              <w:rPr>
                <w:sz w:val="24"/>
              </w:rPr>
              <w:t>7</w:t>
            </w:r>
            <w:r>
              <w:rPr>
                <w:rFonts w:hint="eastAsia"/>
                <w:sz w:val="24"/>
              </w:rPr>
              <w:t>2</w:t>
            </w:r>
            <w:r>
              <w:rPr>
                <w:sz w:val="24"/>
              </w:rPr>
              <w:t>dB(A)。项目所在厂房为标准厂房，噪声通过墙体隔声可降低23～30dB（A）（参考文献：环境工作手册—环境噪声控制卷，高等教育出版社，2000年），本项目取23dB（A），经墙体隔声后，噪声贡献值约为4</w:t>
            </w:r>
            <w:r>
              <w:rPr>
                <w:rFonts w:hint="eastAsia"/>
                <w:sz w:val="24"/>
              </w:rPr>
              <w:t>9</w:t>
            </w:r>
            <w:r>
              <w:rPr>
                <w:sz w:val="24"/>
              </w:rPr>
              <w:t>dB(A)。</w:t>
            </w:r>
            <w:r>
              <w:rPr>
                <w:rFonts w:ascii="宋体" w:hAnsi="宋体" w:cs="宋体"/>
                <w:color w:val="000000"/>
                <w:kern w:val="0"/>
                <w:sz w:val="30"/>
                <w:szCs w:val="30"/>
              </w:rPr>
              <w:t xml:space="preserve"> </w:t>
            </w:r>
          </w:p>
          <w:p>
            <w:pPr>
              <w:spacing w:line="360" w:lineRule="auto"/>
              <w:ind w:firstLine="489" w:firstLineChars="204"/>
              <w:jc w:val="left"/>
              <w:rPr>
                <w:sz w:val="24"/>
              </w:rPr>
            </w:pPr>
            <w:r>
              <w:rPr>
                <w:rFonts w:hint="eastAsia"/>
                <w:sz w:val="24"/>
              </w:rPr>
              <w:t>项目的</w:t>
            </w:r>
            <w:r>
              <w:rPr>
                <w:sz w:val="24"/>
              </w:rPr>
              <w:t>现场噪声监测</w:t>
            </w:r>
            <w:r>
              <w:rPr>
                <w:rFonts w:hint="eastAsia"/>
                <w:sz w:val="24"/>
              </w:rPr>
              <w:t>值由本项目的设备噪声对周边声环境的贡献值和项目周边背景值叠加而成。由表8的现状监测可知，项目所在地及周边敏感点的声环境质量达标，因此本项目设备噪声对周边声环境的贡献值满足</w:t>
            </w:r>
            <w:r>
              <w:rPr>
                <w:sz w:val="24"/>
              </w:rPr>
              <w:t>《工业企业厂界环境噪声排放标准》（GB12348-2008）的</w:t>
            </w:r>
            <w:r>
              <w:rPr>
                <w:rFonts w:hint="eastAsia"/>
                <w:sz w:val="24"/>
              </w:rPr>
              <w:t>3</w:t>
            </w:r>
            <w:r>
              <w:rPr>
                <w:sz w:val="24"/>
              </w:rPr>
              <w:t>类功能区环境噪声</w:t>
            </w:r>
            <w:r>
              <w:rPr>
                <w:rFonts w:hint="eastAsia"/>
                <w:sz w:val="24"/>
              </w:rPr>
              <w:t>昼间</w:t>
            </w:r>
            <w:r>
              <w:rPr>
                <w:sz w:val="24"/>
              </w:rPr>
              <w:t>排放限值，即昼间≤</w:t>
            </w:r>
            <w:r>
              <w:rPr>
                <w:rFonts w:hint="eastAsia"/>
                <w:sz w:val="24"/>
              </w:rPr>
              <w:t>65</w:t>
            </w:r>
            <w:r>
              <w:rPr>
                <w:sz w:val="24"/>
              </w:rPr>
              <w:t>dB(A)。</w:t>
            </w:r>
            <w:r>
              <w:rPr>
                <w:rFonts w:hint="eastAsia"/>
                <w:sz w:val="24"/>
              </w:rPr>
              <w:t>因此项目只要采取夜间不从事生产、</w:t>
            </w:r>
            <w:r>
              <w:rPr>
                <w:sz w:val="24"/>
              </w:rPr>
              <w:t>加强车间和设备的隔声降噪，</w:t>
            </w:r>
            <w:r>
              <w:rPr>
                <w:rFonts w:hint="eastAsia"/>
                <w:sz w:val="24"/>
              </w:rPr>
              <w:t>空压机放置于单独密闭的房间内，</w:t>
            </w:r>
            <w:r>
              <w:rPr>
                <w:sz w:val="24"/>
              </w:rPr>
              <w:t>对机械设备安装减震垫圈</w:t>
            </w:r>
            <w:r>
              <w:rPr>
                <w:rFonts w:hint="eastAsia"/>
                <w:sz w:val="24"/>
              </w:rPr>
              <w:t>，</w:t>
            </w:r>
            <w:r>
              <w:rPr>
                <w:sz w:val="24"/>
              </w:rPr>
              <w:t>机械设备加强维修保养，并适时添加润滑油防止机械磨损等措施</w:t>
            </w:r>
            <w:r>
              <w:rPr>
                <w:rFonts w:hint="eastAsia"/>
                <w:sz w:val="24"/>
              </w:rPr>
              <w:t xml:space="preserve">，即可确保不会对周边的声环境产生影响。  </w:t>
            </w:r>
          </w:p>
          <w:p>
            <w:pPr>
              <w:snapToGrid w:val="0"/>
              <w:spacing w:line="360" w:lineRule="auto"/>
              <w:ind w:firstLine="480" w:firstLineChars="200"/>
              <w:rPr>
                <w:rFonts w:ascii="宋体" w:hAnsi="宋体"/>
                <w:sz w:val="24"/>
              </w:rPr>
            </w:pPr>
            <w:r>
              <w:rPr>
                <w:rFonts w:hint="eastAsia"/>
                <w:sz w:val="24"/>
              </w:rPr>
              <w:t>本项目仓储配送过程中货物搬运</w:t>
            </w:r>
            <w:r>
              <w:rPr>
                <w:sz w:val="24"/>
              </w:rPr>
              <w:t>/</w:t>
            </w:r>
            <w:r>
              <w:rPr>
                <w:rFonts w:hint="eastAsia"/>
                <w:sz w:val="24"/>
              </w:rPr>
              <w:t>装卸会产生一定的噪声；</w:t>
            </w:r>
            <w:r>
              <w:rPr>
                <w:rFonts w:hint="eastAsia" w:ascii="宋体" w:hAnsi="宋体"/>
                <w:bCs/>
                <w:sz w:val="24"/>
              </w:rPr>
              <w:t>货运汽车进出仓库时会产生一定的交通噪声。</w:t>
            </w:r>
          </w:p>
          <w:p>
            <w:pPr>
              <w:spacing w:line="360" w:lineRule="auto"/>
              <w:ind w:firstLine="489" w:firstLineChars="204"/>
              <w:jc w:val="left"/>
              <w:rPr>
                <w:sz w:val="24"/>
              </w:rPr>
            </w:pPr>
            <w:r>
              <w:rPr>
                <w:rFonts w:hint="eastAsia"/>
                <w:vanish/>
                <w:sz w:val="24"/>
              </w:rPr>
              <w:t>工业噪声值项目</w:t>
            </w:r>
            <w:r>
              <w:rPr>
                <w:rFonts w:hint="eastAsia"/>
                <w:sz w:val="24"/>
              </w:rPr>
              <w:t>项目在运输过程中禁止鸣笛，减慢车速、减少制动噪声，尽量选用车性能较好的车辆，减少造成对声环境的污染，并且</w:t>
            </w:r>
            <w:r>
              <w:rPr>
                <w:rFonts w:hint="eastAsia"/>
                <w:bCs/>
                <w:kern w:val="36"/>
                <w:sz w:val="24"/>
              </w:rPr>
              <w:t>加强货物搬运管理</w:t>
            </w:r>
            <w:r>
              <w:rPr>
                <w:rFonts w:hint="eastAsia"/>
                <w:sz w:val="24"/>
              </w:rPr>
              <w:t>。项目周围无学校，住宅区，医院，学校，文物古迹敏感点，因此对外界的影响是可接受。</w:t>
            </w:r>
          </w:p>
          <w:p>
            <w:pPr>
              <w:spacing w:line="360" w:lineRule="auto"/>
              <w:ind w:firstLine="492" w:firstLineChars="204"/>
              <w:jc w:val="left"/>
              <w:rPr>
                <w:b/>
                <w:bCs/>
                <w:sz w:val="24"/>
              </w:rPr>
            </w:pPr>
            <w:r>
              <w:rPr>
                <w:b/>
                <w:bCs/>
                <w:sz w:val="24"/>
              </w:rPr>
              <w:t>4</w:t>
            </w:r>
            <w:r>
              <w:rPr>
                <w:rFonts w:hint="eastAsia"/>
                <w:b/>
                <w:bCs/>
                <w:sz w:val="24"/>
              </w:rPr>
              <w:t>、固体废物影响分析</w:t>
            </w:r>
          </w:p>
          <w:p>
            <w:pPr>
              <w:adjustRightInd w:val="0"/>
              <w:snapToGrid w:val="0"/>
              <w:spacing w:line="360" w:lineRule="auto"/>
              <w:ind w:firstLine="480" w:firstLineChars="200"/>
              <w:rPr>
                <w:bCs/>
                <w:sz w:val="24"/>
              </w:rPr>
            </w:pPr>
            <w:r>
              <w:rPr>
                <w:bCs/>
                <w:sz w:val="24"/>
              </w:rPr>
              <w:t>生活垃圾：项目员工生活垃圾产生量约</w:t>
            </w:r>
            <w:r>
              <w:rPr>
                <w:rFonts w:hint="eastAsia"/>
                <w:bCs/>
                <w:sz w:val="24"/>
              </w:rPr>
              <w:t>400</w:t>
            </w:r>
            <w:r>
              <w:rPr>
                <w:bCs/>
                <w:sz w:val="24"/>
              </w:rPr>
              <w:t>kg/d，生活垃圾分类收集置于垃圾桶内，定期交由环卫部门清运处理。</w:t>
            </w:r>
          </w:p>
          <w:p>
            <w:pPr>
              <w:adjustRightInd w:val="0"/>
              <w:snapToGrid w:val="0"/>
              <w:spacing w:line="360" w:lineRule="auto"/>
              <w:ind w:firstLine="480" w:firstLineChars="200"/>
              <w:rPr>
                <w:bCs/>
                <w:sz w:val="24"/>
              </w:rPr>
            </w:pPr>
            <w:r>
              <w:rPr>
                <w:bCs/>
                <w:sz w:val="24"/>
              </w:rPr>
              <w:t>一般工业废物：</w:t>
            </w:r>
            <w:r>
              <w:rPr>
                <w:rFonts w:hint="eastAsia"/>
                <w:bCs/>
                <w:sz w:val="24"/>
              </w:rPr>
              <w:t>生产过程中产生废包装材料、废布料、废纸品等，年产生量约为2t/a、6t/a、3t/a，该公司</w:t>
            </w:r>
            <w:r>
              <w:rPr>
                <w:bCs/>
                <w:sz w:val="24"/>
              </w:rPr>
              <w:t>将其分类收集后出售给废品站处理。</w:t>
            </w:r>
          </w:p>
          <w:p>
            <w:pPr>
              <w:pStyle w:val="48"/>
              <w:ind w:firstLine="460"/>
              <w:jc w:val="both"/>
              <w:rPr>
                <w:sz w:val="23"/>
                <w:szCs w:val="23"/>
              </w:rPr>
            </w:pPr>
          </w:p>
        </w:tc>
      </w:tr>
    </w:tbl>
    <w:p>
      <w:pPr>
        <w:rPr>
          <w:b/>
          <w:sz w:val="28"/>
        </w:rPr>
      </w:pPr>
    </w:p>
    <w:p>
      <w:pPr>
        <w:rPr>
          <w:b/>
          <w:sz w:val="28"/>
        </w:rPr>
      </w:pPr>
      <w:r>
        <w:rPr>
          <w:b/>
          <w:sz w:val="28"/>
        </w:rPr>
        <w:t>续表一</w:t>
      </w:r>
    </w:p>
    <w:tbl>
      <w:tblPr>
        <w:tblStyle w:val="20"/>
        <w:tblW w:w="93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8"/>
        <w:gridCol w:w="7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585" w:hRule="atLeast"/>
          <w:jc w:val="center"/>
        </w:trPr>
        <w:tc>
          <w:tcPr>
            <w:tcW w:w="1788" w:type="dxa"/>
            <w:tcBorders>
              <w:top w:val="single" w:color="auto" w:sz="8" w:space="0"/>
              <w:left w:val="single" w:color="auto" w:sz="8" w:space="0"/>
              <w:bottom w:val="single" w:color="auto" w:sz="8" w:space="0"/>
              <w:right w:val="single" w:color="auto" w:sz="8" w:space="0"/>
            </w:tcBorders>
            <w:vAlign w:val="center"/>
          </w:tcPr>
          <w:p>
            <w:pPr>
              <w:adjustRightInd w:val="0"/>
              <w:jc w:val="center"/>
              <w:rPr>
                <w:kern w:val="0"/>
                <w:sz w:val="24"/>
              </w:rPr>
            </w:pPr>
            <w:r>
              <w:rPr>
                <w:kern w:val="0"/>
                <w:sz w:val="24"/>
              </w:rPr>
              <w:t>营运期环境影响评价结论</w:t>
            </w:r>
          </w:p>
        </w:tc>
        <w:tc>
          <w:tcPr>
            <w:tcW w:w="7553" w:type="dxa"/>
            <w:tcBorders>
              <w:top w:val="single" w:color="auto" w:sz="8" w:space="0"/>
              <w:left w:val="single" w:color="auto" w:sz="8" w:space="0"/>
              <w:bottom w:val="single" w:color="auto" w:sz="4" w:space="0"/>
              <w:right w:val="single" w:color="auto" w:sz="8" w:space="0"/>
            </w:tcBorders>
          </w:tcPr>
          <w:p>
            <w:pPr>
              <w:adjustRightInd w:val="0"/>
              <w:snapToGrid w:val="0"/>
              <w:spacing w:line="360" w:lineRule="auto"/>
              <w:ind w:firstLine="480" w:firstLineChars="200"/>
              <w:rPr>
                <w:bCs/>
                <w:sz w:val="24"/>
              </w:rPr>
            </w:pPr>
            <w:r>
              <w:rPr>
                <w:bCs/>
                <w:sz w:val="24"/>
              </w:rPr>
              <w:t>危险废物：</w:t>
            </w:r>
            <w:r>
              <w:rPr>
                <w:rFonts w:hint="eastAsia"/>
                <w:sz w:val="24"/>
              </w:rPr>
              <w:t>废胶桶、胶渣</w:t>
            </w:r>
            <w:r>
              <w:rPr>
                <w:rFonts w:hint="eastAsia"/>
                <w:bCs/>
                <w:sz w:val="18"/>
                <w:szCs w:val="18"/>
              </w:rPr>
              <w:t>（HW13</w:t>
            </w:r>
            <w:r>
              <w:rPr>
                <w:rFonts w:hint="eastAsia"/>
                <w:sz w:val="18"/>
                <w:szCs w:val="18"/>
              </w:rPr>
              <w:t>）</w:t>
            </w:r>
            <w:r>
              <w:rPr>
                <w:rFonts w:hint="eastAsia"/>
                <w:sz w:val="24"/>
              </w:rPr>
              <w:t>和废活性碳</w:t>
            </w:r>
            <w:r>
              <w:rPr>
                <w:rFonts w:hint="eastAsia"/>
                <w:sz w:val="18"/>
                <w:szCs w:val="18"/>
              </w:rPr>
              <w:t>（HW49）</w:t>
            </w:r>
            <w:r>
              <w:rPr>
                <w:bCs/>
                <w:sz w:val="24"/>
              </w:rPr>
              <w:t>等。这些废弃物须统一收集后定期交由有资质的工业废物处理站处理，并签订合同。</w:t>
            </w:r>
            <w:r>
              <w:rPr>
                <w:rFonts w:hint="eastAsia"/>
                <w:bCs/>
                <w:sz w:val="24"/>
              </w:rPr>
              <w:t>经上述措施处理后，本项目产生的固体废物对周围环境不产生直接的影响。</w:t>
            </w:r>
          </w:p>
          <w:p>
            <w:pPr>
              <w:adjustRightInd w:val="0"/>
              <w:snapToGrid w:val="0"/>
              <w:spacing w:line="360" w:lineRule="auto"/>
              <w:ind w:firstLine="480" w:firstLineChars="200"/>
              <w:rPr>
                <w:bCs/>
                <w:sz w:val="24"/>
              </w:rPr>
            </w:pPr>
            <w:r>
              <w:rPr>
                <w:bCs/>
                <w:sz w:val="24"/>
              </w:rPr>
              <w:t>经上述措施处理后，本项目产生的固体废物对周围环境不产生直接的影响。</w:t>
            </w:r>
          </w:p>
          <w:p>
            <w:pPr>
              <w:spacing w:line="360" w:lineRule="auto"/>
              <w:ind w:left="479" w:leftChars="228"/>
              <w:rPr>
                <w:b/>
                <w:bCs/>
                <w:color w:val="000000"/>
                <w:sz w:val="24"/>
              </w:rPr>
            </w:pPr>
            <w:r>
              <w:rPr>
                <w:rFonts w:hint="eastAsia"/>
                <w:b/>
                <w:bCs/>
                <w:color w:val="000000"/>
                <w:sz w:val="24"/>
              </w:rPr>
              <w:t>5、生态环境影响分析</w:t>
            </w:r>
          </w:p>
          <w:p>
            <w:pPr>
              <w:adjustRightInd w:val="0"/>
              <w:snapToGrid w:val="0"/>
              <w:spacing w:before="156" w:beforeLines="50" w:line="360" w:lineRule="auto"/>
              <w:ind w:firstLine="480" w:firstLineChars="200"/>
              <w:rPr>
                <w:sz w:val="24"/>
              </w:rPr>
            </w:pPr>
            <w:r>
              <w:rPr>
                <w:rFonts w:hint="eastAsia"/>
                <w:sz w:val="24"/>
              </w:rPr>
              <w:t>本项目选址不位于深圳市基本生态控制线内，项目位于已建成的工业区，不存在施工期所产生的水土流失、植被破坏等影响，工业区内植被及绿化面积欠缺，生态环境不佳。项目选址所在位置</w:t>
            </w:r>
            <w:r>
              <w:rPr>
                <w:sz w:val="24"/>
              </w:rPr>
              <w:t>100</w:t>
            </w:r>
            <w:r>
              <w:rPr>
                <w:rFonts w:hint="eastAsia"/>
                <w:sz w:val="24"/>
              </w:rPr>
              <w:t>米范围内无国家保护珍稀动植物及生态敏感保护目标等。</w:t>
            </w:r>
          </w:p>
          <w:p>
            <w:pPr>
              <w:adjustRightInd w:val="0"/>
              <w:snapToGrid w:val="0"/>
              <w:spacing w:before="156" w:beforeLines="50" w:line="360" w:lineRule="auto"/>
              <w:ind w:firstLine="480" w:firstLineChars="200"/>
              <w:rPr>
                <w:sz w:val="24"/>
              </w:rPr>
            </w:pPr>
            <w:r>
              <w:rPr>
                <w:rFonts w:hint="eastAsia"/>
                <w:sz w:val="24"/>
              </w:rPr>
              <w:t>根据前述分析，项目运营主要污染物为生活污水、噪声、废气、固体废物等各项污染物采取相关措施处理后对周围生态环境无明显影响。综上所述，本项目的建设对周边生态环境影响不大。</w:t>
            </w:r>
          </w:p>
          <w:p>
            <w:pPr>
              <w:adjustRightInd w:val="0"/>
              <w:snapToGrid w:val="0"/>
              <w:spacing w:line="360" w:lineRule="auto"/>
              <w:ind w:firstLine="482" w:firstLineChars="200"/>
              <w:rPr>
                <w:b/>
                <w:bCs/>
                <w:color w:val="000000"/>
                <w:sz w:val="24"/>
              </w:rPr>
            </w:pPr>
            <w:r>
              <w:rPr>
                <w:b/>
                <w:bCs/>
                <w:color w:val="000000"/>
                <w:sz w:val="24"/>
              </w:rPr>
              <w:t>6</w:t>
            </w:r>
            <w:r>
              <w:rPr>
                <w:rFonts w:hint="eastAsia"/>
                <w:b/>
                <w:bCs/>
                <w:color w:val="000000"/>
                <w:sz w:val="24"/>
              </w:rPr>
              <w:t>、风险影响分析</w:t>
            </w:r>
          </w:p>
          <w:p>
            <w:pPr>
              <w:adjustRightInd w:val="0"/>
              <w:snapToGrid w:val="0"/>
              <w:spacing w:before="156" w:beforeLines="50" w:line="360" w:lineRule="auto"/>
              <w:ind w:firstLine="480" w:firstLineChars="200"/>
              <w:rPr>
                <w:bCs/>
                <w:sz w:val="24"/>
              </w:rPr>
            </w:pPr>
            <w:r>
              <w:rPr>
                <w:bCs/>
                <w:sz w:val="24"/>
              </w:rPr>
              <w:t>根据HJ/T169-2004《建设项目环境风险评价技术导则》，本项目没有重大环境</w:t>
            </w:r>
            <w:r>
              <w:rPr>
                <w:rFonts w:hint="eastAsia"/>
                <w:bCs/>
                <w:sz w:val="24"/>
              </w:rPr>
              <w:t>危</w:t>
            </w:r>
            <w:r>
              <w:rPr>
                <w:bCs/>
                <w:sz w:val="24"/>
              </w:rPr>
              <w:t>险源，其潜在的环境风险影响不大。但应加强火灾风险的防治，厂区应充分考虑消防设施、安全疏散通道等，投入运行前须通过消防验收。生产期间须在火灾防范方面制定严格、全面的防火规定措施，例如严禁在车间内吸烟，对电路定期予以检查，用电负荷与电路的设计要匹配等，并严格监督执行，以杜绝火灾隐患。</w:t>
            </w:r>
          </w:p>
          <w:p>
            <w:pPr>
              <w:spacing w:line="360" w:lineRule="auto"/>
              <w:ind w:firstLine="480" w:firstLineChars="200"/>
              <w:rPr>
                <w:sz w:val="24"/>
              </w:rPr>
            </w:pPr>
          </w:p>
          <w:p>
            <w:pPr>
              <w:pStyle w:val="48"/>
              <w:ind w:firstLine="460"/>
              <w:jc w:val="both"/>
              <w:rPr>
                <w:sz w:val="23"/>
                <w:szCs w:val="23"/>
              </w:rPr>
            </w:pPr>
            <w:r>
              <w:rPr>
                <w:sz w:val="23"/>
                <w:szCs w:val="23"/>
              </w:rPr>
              <w:t xml:space="preserve"> </w:t>
            </w:r>
          </w:p>
        </w:tc>
      </w:tr>
    </w:tbl>
    <w:p>
      <w:pPr>
        <w:rPr>
          <w:b/>
          <w:sz w:val="28"/>
        </w:rPr>
      </w:pPr>
    </w:p>
    <w:p>
      <w:pPr>
        <w:rPr>
          <w:b/>
          <w:sz w:val="28"/>
          <w:szCs w:val="28"/>
        </w:rPr>
      </w:pPr>
      <w:r>
        <w:rPr>
          <w:rFonts w:hint="eastAsia"/>
          <w:b/>
          <w:sz w:val="28"/>
          <w:szCs w:val="28"/>
        </w:rPr>
        <w:t>续表一</w:t>
      </w:r>
    </w:p>
    <w:tbl>
      <w:tblPr>
        <w:tblStyle w:val="20"/>
        <w:tblW w:w="93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8"/>
        <w:gridCol w:w="7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670" w:hRule="atLeast"/>
          <w:jc w:val="center"/>
        </w:trPr>
        <w:tc>
          <w:tcPr>
            <w:tcW w:w="1788"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center"/>
              <w:rPr>
                <w:kern w:val="0"/>
                <w:sz w:val="24"/>
              </w:rPr>
            </w:pPr>
            <w:r>
              <w:rPr>
                <w:kern w:val="0"/>
                <w:sz w:val="24"/>
              </w:rPr>
              <w:t>环评建议</w:t>
            </w:r>
          </w:p>
          <w:p>
            <w:pPr>
              <w:autoSpaceDE w:val="0"/>
              <w:autoSpaceDN w:val="0"/>
              <w:adjustRightInd w:val="0"/>
              <w:jc w:val="center"/>
              <w:rPr>
                <w:kern w:val="0"/>
                <w:sz w:val="20"/>
                <w:szCs w:val="20"/>
                <w:highlight w:val="green"/>
              </w:rPr>
            </w:pPr>
            <w:r>
              <w:rPr>
                <w:kern w:val="0"/>
                <w:sz w:val="24"/>
              </w:rPr>
              <w:t>和结论</w:t>
            </w:r>
          </w:p>
        </w:tc>
        <w:tc>
          <w:tcPr>
            <w:tcW w:w="7553" w:type="dxa"/>
            <w:tcBorders>
              <w:top w:val="single" w:color="auto" w:sz="8" w:space="0"/>
              <w:left w:val="single" w:color="auto" w:sz="8" w:space="0"/>
              <w:bottom w:val="single" w:color="auto" w:sz="8" w:space="0"/>
              <w:right w:val="single" w:color="auto" w:sz="8" w:space="0"/>
            </w:tcBorders>
          </w:tcPr>
          <w:p>
            <w:pPr>
              <w:pStyle w:val="50"/>
              <w:ind w:firstLine="482"/>
              <w:rPr>
                <w:b/>
              </w:rPr>
            </w:pPr>
            <w:r>
              <w:rPr>
                <w:b/>
              </w:rPr>
              <w:t>1、项目基本情况</w:t>
            </w:r>
          </w:p>
          <w:p>
            <w:pPr>
              <w:spacing w:line="360" w:lineRule="auto"/>
              <w:ind w:firstLine="480" w:firstLineChars="200"/>
              <w:rPr>
                <w:sz w:val="24"/>
              </w:rPr>
            </w:pPr>
            <w:r>
              <w:rPr>
                <w:rFonts w:hint="eastAsia"/>
                <w:bCs/>
                <w:sz w:val="24"/>
                <w:szCs w:val="36"/>
              </w:rPr>
              <w:t>香港SAMPLE GROUP ASIA PACIFIC LIMITED公司选址深圳市盐田区沙头角保税区15栋厂房第一层南座及第二层南北座及第三层南北座；开办“样板王制造（深圳）有限公司”（以下简称本项目），主要从事布料的生产加工、家居布料样板册、墙纸样板册、窗帘样板册、其他家居材料样板册的生产，布料、墙纸、窗帘、家居材料及其样板册的仓储配送，年产量为200吨、200万本、30万本、50万本、20万本、300吨，租赁生产场所建筑面积为11500平方米</w:t>
            </w:r>
            <w:r>
              <w:rPr>
                <w:bCs/>
                <w:sz w:val="24"/>
                <w:szCs w:val="36"/>
              </w:rPr>
              <w:t>（登记（备案）号：深房租盐田2016001073）</w:t>
            </w:r>
            <w:r>
              <w:rPr>
                <w:rFonts w:hint="eastAsia"/>
                <w:bCs/>
                <w:sz w:val="24"/>
                <w:szCs w:val="36"/>
              </w:rPr>
              <w:t>，员工人数为400人。</w:t>
            </w:r>
            <w:r>
              <w:rPr>
                <w:bCs/>
                <w:sz w:val="24"/>
                <w:szCs w:val="36"/>
              </w:rPr>
              <w:t>本次评价时，本项目处于</w:t>
            </w:r>
            <w:r>
              <w:rPr>
                <w:rFonts w:hint="eastAsia"/>
                <w:bCs/>
                <w:sz w:val="24"/>
                <w:szCs w:val="36"/>
              </w:rPr>
              <w:t>厂房装修</w:t>
            </w:r>
            <w:r>
              <w:rPr>
                <w:bCs/>
                <w:sz w:val="24"/>
                <w:szCs w:val="36"/>
              </w:rPr>
              <w:t>阶段，现申请</w:t>
            </w:r>
            <w:r>
              <w:rPr>
                <w:rFonts w:hint="eastAsia"/>
                <w:bCs/>
                <w:sz w:val="24"/>
                <w:szCs w:val="36"/>
              </w:rPr>
              <w:t>办理“</w:t>
            </w:r>
            <w:r>
              <w:rPr>
                <w:bCs/>
                <w:sz w:val="24"/>
                <w:szCs w:val="36"/>
              </w:rPr>
              <w:t>新建</w:t>
            </w:r>
            <w:r>
              <w:rPr>
                <w:rFonts w:hint="eastAsia"/>
                <w:bCs/>
                <w:sz w:val="24"/>
                <w:szCs w:val="36"/>
              </w:rPr>
              <w:t>”</w:t>
            </w:r>
            <w:r>
              <w:rPr>
                <w:bCs/>
                <w:sz w:val="24"/>
                <w:szCs w:val="36"/>
              </w:rPr>
              <w:t>环保审批手续。</w:t>
            </w:r>
          </w:p>
          <w:p>
            <w:pPr>
              <w:spacing w:line="360" w:lineRule="auto"/>
              <w:ind w:firstLine="480" w:firstLineChars="200"/>
              <w:rPr>
                <w:sz w:val="24"/>
              </w:rPr>
            </w:pPr>
            <w:r>
              <w:rPr>
                <w:sz w:val="24"/>
              </w:rPr>
              <w:t>根据《中华人民共和国环境影响评价法》及《建设项目环境影响评价分类管理名录》2015.6.1的有关规定，受建设方的委托，</w:t>
            </w:r>
            <w:r>
              <w:rPr>
                <w:bCs/>
                <w:sz w:val="24"/>
                <w:szCs w:val="36"/>
              </w:rPr>
              <w:t>重庆市环境保护工程设计研究院有限公司</w:t>
            </w:r>
            <w:r>
              <w:rPr>
                <w:sz w:val="24"/>
              </w:rPr>
              <w:t>承担了</w:t>
            </w:r>
            <w:r>
              <w:rPr>
                <w:rFonts w:hint="eastAsia"/>
                <w:sz w:val="24"/>
              </w:rPr>
              <w:t>样板王制造（深圳）有限公司新建项目</w:t>
            </w:r>
            <w:r>
              <w:rPr>
                <w:sz w:val="24"/>
              </w:rPr>
              <w:t>的环境影响评价工作，以客观、真实地反映出该项目对环境的影响，</w:t>
            </w:r>
            <w:r>
              <w:rPr>
                <w:rFonts w:hint="eastAsia"/>
                <w:bCs/>
                <w:sz w:val="24"/>
                <w:szCs w:val="36"/>
              </w:rPr>
              <w:t>为</w:t>
            </w:r>
            <w:r>
              <w:rPr>
                <w:bCs/>
                <w:sz w:val="24"/>
                <w:szCs w:val="36"/>
              </w:rPr>
              <w:t>环保审批部门</w:t>
            </w:r>
            <w:r>
              <w:rPr>
                <w:rFonts w:hint="eastAsia"/>
                <w:bCs/>
                <w:sz w:val="24"/>
                <w:szCs w:val="36"/>
              </w:rPr>
              <w:t>提供科学依据</w:t>
            </w:r>
            <w:r>
              <w:rPr>
                <w:sz w:val="24"/>
              </w:rPr>
              <w:t>。</w:t>
            </w:r>
          </w:p>
          <w:p>
            <w:pPr>
              <w:pStyle w:val="50"/>
              <w:ind w:firstLine="482"/>
              <w:rPr>
                <w:b/>
              </w:rPr>
            </w:pPr>
            <w:r>
              <w:rPr>
                <w:rFonts w:hint="eastAsia"/>
                <w:b/>
              </w:rPr>
              <w:t>2、</w:t>
            </w:r>
            <w:r>
              <w:rPr>
                <w:b/>
              </w:rPr>
              <w:t>项目选址与相关政策的符合性</w:t>
            </w:r>
          </w:p>
          <w:p>
            <w:pPr>
              <w:spacing w:line="360" w:lineRule="auto"/>
              <w:ind w:firstLine="600" w:firstLineChars="250"/>
              <w:rPr>
                <w:sz w:val="24"/>
              </w:rPr>
            </w:pPr>
            <w:r>
              <w:rPr>
                <w:rFonts w:hint="eastAsia"/>
                <w:sz w:val="24"/>
              </w:rPr>
              <w:t>依照《深圳市人民政府关于进一步规范基本生态控制线管理的实施意见》（深府〔2013〕63号）划定的《深圳市基本生态控制线范围图》，项目不位于深圳市基本生态控制线范围内。</w:t>
            </w:r>
          </w:p>
          <w:p>
            <w:pPr>
              <w:spacing w:line="360" w:lineRule="auto"/>
              <w:ind w:firstLine="480" w:firstLineChars="200"/>
              <w:rPr>
                <w:sz w:val="24"/>
              </w:rPr>
            </w:pPr>
            <w:r>
              <w:rPr>
                <w:sz w:val="24"/>
              </w:rPr>
              <w:t>本项目所在区域的空气环境功能为二类区</w:t>
            </w:r>
            <w:r>
              <w:rPr>
                <w:rFonts w:hint="eastAsia"/>
                <w:sz w:val="24"/>
              </w:rPr>
              <w:t>、</w:t>
            </w:r>
            <w:r>
              <w:rPr>
                <w:sz w:val="24"/>
              </w:rPr>
              <w:t>声环境功能区划为</w:t>
            </w:r>
            <w:r>
              <w:rPr>
                <w:rFonts w:hint="eastAsia"/>
                <w:sz w:val="24"/>
              </w:rPr>
              <w:t>3</w:t>
            </w:r>
            <w:r>
              <w:rPr>
                <w:sz w:val="24"/>
              </w:rPr>
              <w:t>类区</w:t>
            </w:r>
            <w:r>
              <w:rPr>
                <w:rFonts w:hint="eastAsia"/>
                <w:sz w:val="24"/>
              </w:rPr>
              <w:t>、受纳水体水质控制目标为Ⅴ类。根据项目环境影响分析可知，项目生活污水、噪声、废气、固体废物等各项污染物采取相关措施处理后对周围环境影响较小，故</w:t>
            </w:r>
            <w:r>
              <w:rPr>
                <w:sz w:val="24"/>
              </w:rPr>
              <w:t>项目选址符合区域环境功能区划要求。</w:t>
            </w:r>
          </w:p>
          <w:p>
            <w:pPr>
              <w:widowControl/>
              <w:snapToGrid w:val="0"/>
              <w:spacing w:line="360" w:lineRule="auto"/>
              <w:ind w:firstLine="480" w:firstLineChars="200"/>
              <w:rPr>
                <w:rFonts w:hAnsi="宋体"/>
                <w:bCs/>
                <w:color w:val="000000"/>
                <w:sz w:val="24"/>
              </w:rPr>
            </w:pPr>
            <w:r>
              <w:rPr>
                <w:sz w:val="24"/>
              </w:rPr>
              <w:t>根据《深圳市</w:t>
            </w:r>
            <w:r>
              <w:rPr>
                <w:rFonts w:hint="eastAsia"/>
                <w:sz w:val="24"/>
              </w:rPr>
              <w:t>盐田01-01号片区[沙头角地区]法定图则</w:t>
            </w:r>
            <w:r>
              <w:rPr>
                <w:sz w:val="24"/>
              </w:rPr>
              <w:t>》</w:t>
            </w:r>
            <w:r>
              <w:rPr>
                <w:rFonts w:hint="eastAsia"/>
                <w:sz w:val="24"/>
              </w:rPr>
              <w:t>，</w:t>
            </w:r>
            <w:r>
              <w:rPr>
                <w:rFonts w:hint="eastAsia" w:hAnsi="宋体"/>
                <w:bCs/>
                <w:sz w:val="24"/>
              </w:rPr>
              <w:t>项目选址区属于</w:t>
            </w:r>
            <w:r>
              <w:rPr>
                <w:rFonts w:hint="eastAsia" w:hAnsi="宋体"/>
                <w:bCs/>
                <w:sz w:val="24"/>
                <w:lang w:val="en-IE"/>
              </w:rPr>
              <w:t>工业</w:t>
            </w:r>
            <w:r>
              <w:rPr>
                <w:rFonts w:hint="eastAsia" w:hAnsi="宋体"/>
                <w:bCs/>
                <w:sz w:val="24"/>
              </w:rPr>
              <w:t>用地，</w:t>
            </w:r>
            <w:r>
              <w:rPr>
                <w:rFonts w:hint="eastAsia" w:hAnsi="宋体"/>
                <w:sz w:val="24"/>
              </w:rPr>
              <w:t>项目选址与法定图则相符合。</w:t>
            </w:r>
          </w:p>
          <w:p>
            <w:pPr>
              <w:widowControl/>
              <w:snapToGrid w:val="0"/>
              <w:spacing w:line="360" w:lineRule="auto"/>
              <w:ind w:firstLine="480" w:firstLineChars="200"/>
              <w:rPr>
                <w:rFonts w:ascii="ˎ̥" w:hAnsi="ˎ̥"/>
                <w:sz w:val="24"/>
              </w:rPr>
            </w:pPr>
            <w:r>
              <w:rPr>
                <w:rFonts w:hAnsi="宋体"/>
                <w:bCs/>
                <w:color w:val="000000"/>
                <w:sz w:val="24"/>
              </w:rPr>
              <w:t>经检索《深圳市产业结构调整优化和产业导向目录</w:t>
            </w:r>
            <w:r>
              <w:rPr>
                <w:rFonts w:hint="eastAsia" w:hAnsi="宋体"/>
                <w:bCs/>
                <w:color w:val="000000"/>
                <w:sz w:val="24"/>
              </w:rPr>
              <w:t>（2013年本）</w:t>
            </w:r>
            <w:r>
              <w:rPr>
                <w:rFonts w:hAnsi="宋体"/>
                <w:bCs/>
                <w:color w:val="000000"/>
                <w:sz w:val="24"/>
              </w:rPr>
              <w:t>》</w:t>
            </w:r>
            <w:r>
              <w:rPr>
                <w:rFonts w:hint="eastAsia" w:hAnsi="宋体"/>
                <w:bCs/>
                <w:color w:val="000000"/>
                <w:sz w:val="24"/>
              </w:rPr>
              <w:t>、《</w:t>
            </w:r>
            <w:r>
              <w:rPr>
                <w:rFonts w:hint="eastAsia"/>
                <w:color w:val="000000"/>
                <w:sz w:val="24"/>
              </w:rPr>
              <w:t>广东省主体功能区产业发展指导目录(2014年本)》</w:t>
            </w:r>
            <w:r>
              <w:rPr>
                <w:rFonts w:hAnsi="宋体"/>
                <w:bCs/>
                <w:color w:val="000000"/>
                <w:sz w:val="24"/>
              </w:rPr>
              <w:t>和国家《产业结构</w:t>
            </w:r>
            <w:r>
              <w:rPr>
                <w:rFonts w:hAnsi="宋体"/>
                <w:bCs/>
                <w:sz w:val="24"/>
              </w:rPr>
              <w:t>调整指导目录(20</w:t>
            </w:r>
            <w:r>
              <w:rPr>
                <w:rFonts w:hint="eastAsia" w:hAnsi="宋体"/>
                <w:bCs/>
                <w:sz w:val="24"/>
              </w:rPr>
              <w:t>11</w:t>
            </w:r>
            <w:r>
              <w:rPr>
                <w:rFonts w:hAnsi="宋体"/>
                <w:bCs/>
                <w:sz w:val="24"/>
              </w:rPr>
              <w:t>年本</w:t>
            </w:r>
            <w:r>
              <w:rPr>
                <w:rFonts w:hint="eastAsia" w:hAnsi="宋体"/>
                <w:bCs/>
                <w:sz w:val="24"/>
              </w:rPr>
              <w:t>，2013年修订版</w:t>
            </w:r>
            <w:r>
              <w:rPr>
                <w:rFonts w:hAnsi="宋体"/>
                <w:bCs/>
                <w:sz w:val="24"/>
              </w:rPr>
              <w:t>)》可知</w:t>
            </w:r>
            <w:r>
              <w:rPr>
                <w:rFonts w:hAnsi="宋体"/>
                <w:bCs/>
                <w:color w:val="000000"/>
                <w:sz w:val="24"/>
              </w:rPr>
              <w:t>，项目不属于该目录</w:t>
            </w:r>
          </w:p>
        </w:tc>
      </w:tr>
    </w:tbl>
    <w:p>
      <w:pPr>
        <w:rPr>
          <w:b/>
          <w:sz w:val="28"/>
          <w:szCs w:val="28"/>
        </w:rPr>
      </w:pPr>
    </w:p>
    <w:tbl>
      <w:tblPr>
        <w:tblStyle w:val="20"/>
        <w:tblW w:w="93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8"/>
        <w:gridCol w:w="7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670" w:hRule="atLeast"/>
          <w:jc w:val="center"/>
        </w:trPr>
        <w:tc>
          <w:tcPr>
            <w:tcW w:w="1788"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center"/>
              <w:rPr>
                <w:kern w:val="0"/>
                <w:sz w:val="24"/>
              </w:rPr>
            </w:pPr>
            <w:r>
              <w:rPr>
                <w:kern w:val="0"/>
                <w:sz w:val="24"/>
              </w:rPr>
              <w:t>环评建议</w:t>
            </w:r>
          </w:p>
          <w:p>
            <w:pPr>
              <w:autoSpaceDE w:val="0"/>
              <w:autoSpaceDN w:val="0"/>
              <w:adjustRightInd w:val="0"/>
              <w:jc w:val="center"/>
              <w:rPr>
                <w:kern w:val="0"/>
                <w:sz w:val="20"/>
                <w:szCs w:val="20"/>
                <w:highlight w:val="green"/>
              </w:rPr>
            </w:pPr>
            <w:r>
              <w:rPr>
                <w:kern w:val="0"/>
                <w:sz w:val="24"/>
              </w:rPr>
              <w:t>和结论</w:t>
            </w:r>
          </w:p>
        </w:tc>
        <w:tc>
          <w:tcPr>
            <w:tcW w:w="7553" w:type="dxa"/>
            <w:tcBorders>
              <w:top w:val="single" w:color="auto" w:sz="8" w:space="0"/>
              <w:left w:val="single" w:color="auto" w:sz="8" w:space="0"/>
              <w:bottom w:val="single" w:color="auto" w:sz="8" w:space="0"/>
              <w:right w:val="single" w:color="auto" w:sz="8" w:space="0"/>
            </w:tcBorders>
          </w:tcPr>
          <w:p>
            <w:pPr>
              <w:widowControl/>
              <w:snapToGrid w:val="0"/>
              <w:spacing w:line="360" w:lineRule="auto"/>
              <w:rPr>
                <w:rFonts w:hAnsi="宋体"/>
                <w:bCs/>
                <w:color w:val="000000"/>
                <w:sz w:val="24"/>
              </w:rPr>
            </w:pPr>
            <w:r>
              <w:rPr>
                <w:rFonts w:hint="eastAsia" w:hAnsi="宋体"/>
                <w:bCs/>
                <w:color w:val="000000"/>
                <w:sz w:val="24"/>
                <w:lang w:val="en-US" w:eastAsia="zh-CN"/>
              </w:rPr>
              <w:t>的</w:t>
            </w:r>
            <w:r>
              <w:rPr>
                <w:rFonts w:hint="eastAsia" w:hAnsi="宋体"/>
                <w:bCs/>
                <w:color w:val="000000"/>
                <w:sz w:val="24"/>
              </w:rPr>
              <w:t>鼓励类、</w:t>
            </w:r>
            <w:r>
              <w:rPr>
                <w:rFonts w:hAnsi="宋体"/>
                <w:bCs/>
                <w:color w:val="000000"/>
                <w:sz w:val="24"/>
              </w:rPr>
              <w:t>限制类、禁止（淘汰）类项目，为</w:t>
            </w:r>
            <w:r>
              <w:rPr>
                <w:rFonts w:hint="eastAsia" w:hAnsi="宋体"/>
                <w:bCs/>
                <w:color w:val="000000"/>
                <w:sz w:val="24"/>
              </w:rPr>
              <w:t>允许类</w:t>
            </w:r>
            <w:r>
              <w:rPr>
                <w:rFonts w:hAnsi="宋体"/>
                <w:bCs/>
                <w:color w:val="000000"/>
                <w:sz w:val="24"/>
              </w:rPr>
              <w:t>项目。因此，项目符合相关的产业政策要求。</w:t>
            </w:r>
          </w:p>
          <w:p>
            <w:pPr>
              <w:spacing w:line="360" w:lineRule="auto"/>
              <w:ind w:firstLine="480" w:firstLineChars="200"/>
              <w:rPr>
                <w:bCs/>
                <w:sz w:val="24"/>
              </w:rPr>
            </w:pPr>
            <w:r>
              <w:rPr>
                <w:rFonts w:hint="eastAsia"/>
                <w:bCs/>
                <w:sz w:val="24"/>
              </w:rPr>
              <w:t>项目所使用的原辅材料不涉及该文件要求的原料及工艺，因此符合《深圳市人民政府办公厅关于印发深圳市大气环境质量提升计划的通知》（深府办[2013]19 号）的要求。</w:t>
            </w:r>
          </w:p>
          <w:p>
            <w:pPr>
              <w:spacing w:line="360" w:lineRule="auto"/>
              <w:ind w:firstLine="480" w:firstLineChars="200"/>
              <w:rPr>
                <w:rFonts w:hAnsi="宋体"/>
                <w:bCs/>
                <w:color w:val="000000"/>
                <w:sz w:val="24"/>
              </w:rPr>
            </w:pPr>
            <w:r>
              <w:rPr>
                <w:rFonts w:hint="eastAsia"/>
                <w:bCs/>
                <w:sz w:val="24"/>
              </w:rPr>
              <w:t>项目所使用的原辅材料不涉及该文件相关的原料及工艺，因此符合关于印发《深圳市人居环境委员会“蓝天行动”工作方案》的通知（深人环[2011]438号）的要求。</w:t>
            </w:r>
          </w:p>
          <w:p>
            <w:pPr>
              <w:pStyle w:val="50"/>
              <w:ind w:firstLine="482"/>
              <w:rPr>
                <w:b/>
              </w:rPr>
            </w:pPr>
            <w:r>
              <w:rPr>
                <w:b/>
              </w:rPr>
              <w:t>3、污染物防治措施及建议</w:t>
            </w:r>
          </w:p>
          <w:p>
            <w:pPr>
              <w:widowControl/>
              <w:snapToGrid w:val="0"/>
              <w:spacing w:line="360" w:lineRule="auto"/>
              <w:ind w:firstLine="480" w:firstLineChars="200"/>
              <w:rPr>
                <w:rFonts w:hAnsi="宋体"/>
                <w:bCs/>
                <w:color w:val="000000"/>
                <w:sz w:val="24"/>
              </w:rPr>
            </w:pPr>
            <w:r>
              <w:rPr>
                <w:rFonts w:hAnsi="宋体"/>
                <w:bCs/>
                <w:color w:val="000000"/>
                <w:sz w:val="24"/>
              </w:rPr>
              <w:t>项目运营期产生的主要环境影响是生活污水、</w:t>
            </w:r>
            <w:r>
              <w:rPr>
                <w:rFonts w:hint="eastAsia" w:hAnsi="宋体"/>
                <w:bCs/>
                <w:color w:val="000000"/>
                <w:sz w:val="24"/>
              </w:rPr>
              <w:t>噪声、废气</w:t>
            </w:r>
            <w:r>
              <w:rPr>
                <w:rFonts w:hAnsi="宋体"/>
                <w:bCs/>
                <w:color w:val="000000"/>
                <w:sz w:val="24"/>
              </w:rPr>
              <w:t>和固体废物，为使项目的环境影响降至可接受的程度，运营期应执行如下措施：</w:t>
            </w:r>
          </w:p>
          <w:p>
            <w:pPr>
              <w:pStyle w:val="50"/>
              <w:keepNext w:val="0"/>
              <w:keepLines w:val="0"/>
              <w:pageBreakBefore w:val="0"/>
              <w:widowControl/>
              <w:numPr>
                <w:ilvl w:val="0"/>
                <w:numId w:val="2"/>
              </w:numPr>
              <w:kinsoku/>
              <w:wordWrap/>
              <w:overflowPunct w:val="0"/>
              <w:topLinePunct/>
              <w:autoSpaceDE/>
              <w:autoSpaceDN/>
              <w:bidi w:val="0"/>
              <w:adjustRightInd/>
              <w:snapToGrid/>
              <w:spacing w:line="360" w:lineRule="auto"/>
              <w:ind w:left="0" w:leftChars="0" w:right="0" w:rightChars="0" w:firstLine="480" w:firstLineChars="200"/>
              <w:jc w:val="both"/>
              <w:textAlignment w:val="baseline"/>
              <w:outlineLvl w:val="9"/>
              <w:rPr>
                <w:rFonts w:hint="eastAsia"/>
              </w:rPr>
            </w:pPr>
            <w:r>
              <w:t>生活污水：</w:t>
            </w:r>
            <w:r>
              <w:rPr>
                <w:rFonts w:hint="eastAsia"/>
              </w:rPr>
              <w:t>生活污水经过化粪池预处理后， 经市政污水管网送入盐田污水处理厂处理。</w:t>
            </w:r>
          </w:p>
          <w:p>
            <w:pPr>
              <w:pStyle w:val="50"/>
              <w:keepNext w:val="0"/>
              <w:keepLines w:val="0"/>
              <w:pageBreakBefore w:val="0"/>
              <w:widowControl/>
              <w:numPr>
                <w:ilvl w:val="0"/>
                <w:numId w:val="2"/>
              </w:numPr>
              <w:kinsoku/>
              <w:wordWrap/>
              <w:overflowPunct w:val="0"/>
              <w:topLinePunct/>
              <w:autoSpaceDE/>
              <w:autoSpaceDN/>
              <w:bidi w:val="0"/>
              <w:adjustRightInd/>
              <w:snapToGrid/>
              <w:spacing w:line="360" w:lineRule="auto"/>
              <w:ind w:left="0" w:leftChars="0" w:right="0" w:rightChars="0" w:firstLine="480" w:firstLineChars="200"/>
              <w:jc w:val="both"/>
              <w:textAlignment w:val="baseline"/>
              <w:outlineLvl w:val="9"/>
            </w:pPr>
            <w:r>
              <w:rPr>
                <w:rFonts w:hint="eastAsia"/>
              </w:rPr>
              <w:t>加强车间通风换气，安装机械抽排风装置。在相应工位上方安装集气装置，将废气集中收集通过活性碳吸附处理后管道楼顶排放（废气治理设施须委托具有相关处理资质的单位进行施工、安装）；选用车况性能较好并符合国家排放标准的货运车辆，禁止使用尾气污染物超标排放的机动车，加强机动车的检测与维修等措施，尽量减少运输车辆尾气对周边环境的影响。</w:t>
            </w:r>
          </w:p>
          <w:p>
            <w:pPr>
              <w:pStyle w:val="50"/>
              <w:keepNext w:val="0"/>
              <w:keepLines w:val="0"/>
              <w:pageBreakBefore w:val="0"/>
              <w:widowControl/>
              <w:numPr>
                <w:ilvl w:val="0"/>
                <w:numId w:val="2"/>
              </w:numPr>
              <w:kinsoku/>
              <w:wordWrap/>
              <w:overflowPunct w:val="0"/>
              <w:topLinePunct/>
              <w:autoSpaceDE/>
              <w:autoSpaceDN/>
              <w:bidi w:val="0"/>
              <w:adjustRightInd/>
              <w:snapToGrid/>
              <w:spacing w:line="360" w:lineRule="auto"/>
              <w:ind w:left="0" w:leftChars="0" w:right="0" w:rightChars="0" w:firstLine="480" w:firstLineChars="200"/>
              <w:jc w:val="both"/>
              <w:textAlignment w:val="baseline"/>
              <w:outlineLvl w:val="9"/>
            </w:pPr>
            <w:r>
              <w:rPr>
                <w:rFonts w:hint="eastAsia"/>
              </w:rPr>
              <w:t>夜间不从事生产、合理布局车间，空压机放置于单独密闭房间，加强车间和设备的隔声降噪，对机械设备安装减震垫圈，</w:t>
            </w:r>
            <w:r>
              <w:t>机械设备加强维修保养，并适时添加润滑油防止机械磨损等措施</w:t>
            </w:r>
            <w:r>
              <w:rPr>
                <w:rFonts w:hint="eastAsia"/>
              </w:rPr>
              <w:t>，即可确保不会对周边的声环境产生影响；项目在运输过程中禁止鸣笛，减慢车速、减少制动噪声，尽量选用车性能较好的车辆，减少造成对声环境的污染，并且加强货物搬运管理。</w:t>
            </w:r>
          </w:p>
          <w:p>
            <w:pPr>
              <w:pStyle w:val="50"/>
              <w:keepNext w:val="0"/>
              <w:keepLines w:val="0"/>
              <w:pageBreakBefore w:val="0"/>
              <w:widowControl/>
              <w:numPr>
                <w:ilvl w:val="0"/>
                <w:numId w:val="2"/>
              </w:numPr>
              <w:kinsoku/>
              <w:wordWrap/>
              <w:overflowPunct w:val="0"/>
              <w:topLinePunct/>
              <w:autoSpaceDE/>
              <w:autoSpaceDN/>
              <w:bidi w:val="0"/>
              <w:adjustRightInd/>
              <w:snapToGrid/>
              <w:spacing w:line="360" w:lineRule="auto"/>
              <w:ind w:left="0" w:leftChars="0" w:right="0" w:rightChars="0" w:firstLine="480" w:firstLineChars="200"/>
              <w:jc w:val="both"/>
              <w:textAlignment w:val="baseline"/>
              <w:outlineLvl w:val="9"/>
            </w:pPr>
            <w:r>
              <w:t>项目生产过程中产生的一般固体废物分类收集后出售给废品站处理；员工日常生活过程中产生的生活垃圾分类收集后定期交环卫部门清运处理；危险废物统一收集后定期交由有资质的工业废物处理站处理，并签订合同。</w:t>
            </w:r>
          </w:p>
        </w:tc>
      </w:tr>
    </w:tbl>
    <w:p>
      <w:pPr>
        <w:rPr>
          <w:b/>
          <w:sz w:val="28"/>
          <w:szCs w:val="28"/>
        </w:rPr>
      </w:pPr>
      <w:r>
        <w:rPr>
          <w:rFonts w:hint="eastAsia"/>
          <w:b/>
          <w:sz w:val="28"/>
          <w:szCs w:val="28"/>
        </w:rPr>
        <w:t>续表一</w:t>
      </w:r>
    </w:p>
    <w:tbl>
      <w:tblPr>
        <w:tblStyle w:val="20"/>
        <w:tblW w:w="93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8"/>
        <w:gridCol w:w="7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670" w:hRule="atLeast"/>
          <w:jc w:val="center"/>
        </w:trPr>
        <w:tc>
          <w:tcPr>
            <w:tcW w:w="1788"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center"/>
              <w:rPr>
                <w:kern w:val="0"/>
                <w:sz w:val="24"/>
              </w:rPr>
            </w:pPr>
            <w:r>
              <w:rPr>
                <w:kern w:val="0"/>
                <w:sz w:val="24"/>
              </w:rPr>
              <w:t>环评建议</w:t>
            </w:r>
          </w:p>
          <w:p>
            <w:pPr>
              <w:autoSpaceDE w:val="0"/>
              <w:autoSpaceDN w:val="0"/>
              <w:adjustRightInd w:val="0"/>
              <w:jc w:val="center"/>
              <w:rPr>
                <w:kern w:val="0"/>
                <w:sz w:val="20"/>
                <w:szCs w:val="20"/>
                <w:highlight w:val="green"/>
              </w:rPr>
            </w:pPr>
            <w:r>
              <w:rPr>
                <w:kern w:val="0"/>
                <w:sz w:val="24"/>
              </w:rPr>
              <w:t>和结论</w:t>
            </w:r>
          </w:p>
        </w:tc>
        <w:tc>
          <w:tcPr>
            <w:tcW w:w="7553" w:type="dxa"/>
            <w:tcBorders>
              <w:top w:val="single" w:color="auto" w:sz="8" w:space="0"/>
              <w:left w:val="single" w:color="auto" w:sz="8" w:space="0"/>
              <w:bottom w:val="single" w:color="auto" w:sz="8" w:space="0"/>
              <w:right w:val="single" w:color="auto" w:sz="8" w:space="0"/>
            </w:tcBorders>
          </w:tcPr>
          <w:p>
            <w:pPr>
              <w:pStyle w:val="50"/>
              <w:keepNext w:val="0"/>
              <w:keepLines w:val="0"/>
              <w:pageBreakBefore w:val="0"/>
              <w:widowControl/>
              <w:numPr>
                <w:ilvl w:val="0"/>
                <w:numId w:val="2"/>
              </w:numPr>
              <w:kinsoku/>
              <w:wordWrap/>
              <w:overflowPunct w:val="0"/>
              <w:topLinePunct/>
              <w:autoSpaceDE/>
              <w:autoSpaceDN/>
              <w:bidi w:val="0"/>
              <w:adjustRightInd/>
              <w:snapToGrid/>
              <w:spacing w:line="360" w:lineRule="auto"/>
              <w:ind w:left="0" w:leftChars="0" w:right="0" w:rightChars="0" w:firstLine="480" w:firstLineChars="200"/>
              <w:jc w:val="both"/>
              <w:textAlignment w:val="baseline"/>
              <w:outlineLvl w:val="9"/>
            </w:pPr>
            <w:r>
              <w:t>该项目应采取相应的技术方法推行清洁生产，加强企业日常管理，改善生产流程，提高原材料的利用率，将污染物排放减少到最低点以减少对周围环境的影响。</w:t>
            </w:r>
          </w:p>
          <w:p>
            <w:pPr>
              <w:pStyle w:val="50"/>
              <w:keepNext w:val="0"/>
              <w:keepLines w:val="0"/>
              <w:pageBreakBefore w:val="0"/>
              <w:widowControl/>
              <w:numPr>
                <w:ilvl w:val="0"/>
                <w:numId w:val="2"/>
              </w:numPr>
              <w:kinsoku/>
              <w:wordWrap/>
              <w:overflowPunct w:val="0"/>
              <w:topLinePunct/>
              <w:autoSpaceDE/>
              <w:autoSpaceDN/>
              <w:bidi w:val="0"/>
              <w:adjustRightInd/>
              <w:snapToGrid/>
              <w:spacing w:line="360" w:lineRule="auto"/>
              <w:ind w:left="0" w:leftChars="0" w:right="0" w:rightChars="0" w:firstLine="480" w:firstLineChars="200"/>
              <w:jc w:val="both"/>
              <w:textAlignment w:val="baseline"/>
              <w:outlineLvl w:val="9"/>
            </w:pPr>
            <w:r>
              <w:t>加强风险防范。货品堆放时须依据科学方法，按性质分层、分类堆放，货品之间要有一定的空间距离，不能随地堆放，不能阻塞通道。仓库内须配备常用灭火器、消火栓等。并派专人经常巡视，确保安全存</w:t>
            </w:r>
            <w:r>
              <w:rPr>
                <w:rFonts w:hint="eastAsia"/>
                <w:lang w:val="en-US" w:eastAsia="zh-CN"/>
              </w:rPr>
              <w:t>放。</w:t>
            </w:r>
          </w:p>
          <w:p>
            <w:pPr>
              <w:pStyle w:val="50"/>
              <w:keepNext w:val="0"/>
              <w:keepLines w:val="0"/>
              <w:pageBreakBefore w:val="0"/>
              <w:widowControl/>
              <w:numPr>
                <w:ilvl w:val="0"/>
                <w:numId w:val="2"/>
              </w:numPr>
              <w:kinsoku/>
              <w:wordWrap/>
              <w:overflowPunct w:val="0"/>
              <w:topLinePunct/>
              <w:autoSpaceDE/>
              <w:autoSpaceDN/>
              <w:bidi w:val="0"/>
              <w:adjustRightInd/>
              <w:snapToGrid/>
              <w:spacing w:line="360" w:lineRule="auto"/>
              <w:ind w:left="0" w:leftChars="0" w:right="0" w:rightChars="0" w:firstLine="480" w:firstLineChars="200"/>
              <w:jc w:val="both"/>
              <w:textAlignment w:val="baseline"/>
              <w:outlineLvl w:val="9"/>
            </w:pPr>
            <w:r>
              <w:t>项目应引进先进技术，采用低耗能设备，使项目循环经济指标</w:t>
            </w:r>
            <w:r>
              <w:rPr>
                <w:rFonts w:hint="eastAsia"/>
              </w:rPr>
              <w:t>继续保持</w:t>
            </w:r>
            <w:r>
              <w:t>Ⅰ级标准。</w:t>
            </w:r>
          </w:p>
          <w:p>
            <w:pPr>
              <w:pStyle w:val="50"/>
              <w:ind w:firstLine="482"/>
              <w:rPr>
                <w:b/>
              </w:rPr>
            </w:pPr>
            <w:r>
              <w:rPr>
                <w:b/>
              </w:rPr>
              <w:t>4、环保监管</w:t>
            </w:r>
          </w:p>
          <w:p>
            <w:pPr>
              <w:pStyle w:val="50"/>
              <w:ind w:firstLine="482"/>
            </w:pPr>
            <w:r>
              <w:rPr>
                <w:rFonts w:hint="eastAsia"/>
              </w:rPr>
              <w:t xml:space="preserve">（1）生活垃圾、一般固废是否在车间设施收集器皿，集中收集由有营运资质单位统一处理。 </w:t>
            </w:r>
          </w:p>
          <w:p>
            <w:pPr>
              <w:pStyle w:val="50"/>
            </w:pPr>
            <w:r>
              <w:rPr>
                <w:rFonts w:hint="eastAsia"/>
              </w:rPr>
              <w:t>（2）是否安装抽排风装置，加强车间通风，是否在相应工位上方安装集气装置，将废气集中收集通过活性碳吸附处理后管道楼顶排放。是否选用车况性能较好并符合国家排放标准的货运车辆，是否加强机动车的检测与维修等措施。</w:t>
            </w:r>
          </w:p>
          <w:p>
            <w:pPr>
              <w:pStyle w:val="50"/>
            </w:pPr>
            <w:r>
              <w:rPr>
                <w:rFonts w:hint="eastAsia"/>
              </w:rPr>
              <w:t xml:space="preserve">（3）危险废物是否统一收集后定期交由有资质的工业废物处理站处理，并签订合同。 </w:t>
            </w:r>
          </w:p>
          <w:p>
            <w:pPr>
              <w:pStyle w:val="50"/>
            </w:pPr>
            <w:r>
              <w:rPr>
                <w:rFonts w:hint="eastAsia"/>
              </w:rPr>
              <w:t>（4）是否合理布局车间，加强车间和设备的隔声降噪，对机械设备安装减震垫圈，空压机是否单独放置于密闭房间；是否选用车性能较好的车辆，并且加强货物搬运管理。</w:t>
            </w:r>
          </w:p>
          <w:p>
            <w:pPr>
              <w:pStyle w:val="50"/>
              <w:ind w:firstLine="482"/>
              <w:rPr>
                <w:b/>
              </w:rPr>
            </w:pPr>
            <w:r>
              <w:rPr>
                <w:b/>
              </w:rPr>
              <w:t>5、其污染物排放执行下列标准</w:t>
            </w:r>
          </w:p>
          <w:p>
            <w:pPr>
              <w:pStyle w:val="51"/>
              <w:snapToGrid w:val="0"/>
              <w:spacing w:line="500" w:lineRule="exact"/>
              <w:ind w:firstLine="480" w:firstLineChars="200"/>
              <w:rPr>
                <w:rFonts w:ascii="Times New Roman"/>
                <w:szCs w:val="24"/>
              </w:rPr>
            </w:pPr>
            <w:r>
              <w:rPr>
                <w:rFonts w:ascii="Times New Roman"/>
              </w:rPr>
              <w:t>（1）</w:t>
            </w:r>
            <w:r>
              <w:rPr>
                <w:rFonts w:ascii="Times New Roman"/>
                <w:color w:val="000000"/>
              </w:rPr>
              <w:t>污/废水排放标准：执行广东省地方标准《水污染物排放限值》</w:t>
            </w:r>
            <w:r>
              <w:rPr>
                <w:rFonts w:ascii="Times New Roman"/>
              </w:rPr>
              <w:t>(DB44/26-2001)中的</w:t>
            </w:r>
            <w:r>
              <w:rPr>
                <w:rFonts w:hint="eastAsia" w:ascii="Times New Roman"/>
              </w:rPr>
              <w:t>三</w:t>
            </w:r>
            <w:r>
              <w:rPr>
                <w:rFonts w:ascii="Times New Roman"/>
              </w:rPr>
              <w:t>级标准(第二时段)。</w:t>
            </w:r>
            <w:r>
              <w:rPr>
                <w:rFonts w:ascii="Times New Roman"/>
                <w:szCs w:val="24"/>
              </w:rPr>
              <w:t xml:space="preserve">  </w:t>
            </w:r>
          </w:p>
          <w:p>
            <w:pPr>
              <w:pStyle w:val="51"/>
              <w:spacing w:line="500" w:lineRule="exact"/>
              <w:ind w:firstLine="480" w:firstLineChars="200"/>
              <w:rPr>
                <w:rFonts w:ascii="Times New Roman"/>
              </w:rPr>
            </w:pPr>
            <w:r>
              <w:rPr>
                <w:rFonts w:ascii="Times New Roman"/>
              </w:rPr>
              <w:t>（2）废气排放标准：执行广东省地方标准《大气污染物排放限值》（DB44/27-2001）中的二级标准(第二时段)。</w:t>
            </w:r>
          </w:p>
          <w:p>
            <w:pPr>
              <w:pStyle w:val="51"/>
              <w:spacing w:line="500" w:lineRule="exact"/>
              <w:ind w:firstLine="480" w:firstLineChars="200"/>
              <w:rPr>
                <w:rFonts w:ascii="ˎ̥" w:hAnsi="ˎ̥"/>
              </w:rPr>
            </w:pPr>
            <w:r>
              <w:rPr>
                <w:rFonts w:ascii="Times New Roman"/>
              </w:rPr>
              <w:t>（3）噪声：不得超过《工业企业厂界环境噪声排放标准》（GB12348-2008）中规定的厂界外</w:t>
            </w:r>
            <w:r>
              <w:rPr>
                <w:rFonts w:hint="eastAsia" w:ascii="Times New Roman"/>
              </w:rPr>
              <w:t>3</w:t>
            </w:r>
            <w:r>
              <w:rPr>
                <w:rFonts w:ascii="Times New Roman"/>
              </w:rPr>
              <w:t>类声环境功能区环境噪声排放限值。</w:t>
            </w:r>
          </w:p>
        </w:tc>
      </w:tr>
    </w:tbl>
    <w:p>
      <w:pPr>
        <w:rPr>
          <w:b/>
          <w:sz w:val="28"/>
          <w:szCs w:val="28"/>
        </w:rPr>
      </w:pPr>
    </w:p>
    <w:tbl>
      <w:tblPr>
        <w:tblStyle w:val="20"/>
        <w:tblW w:w="93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8"/>
        <w:gridCol w:w="7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670" w:hRule="atLeast"/>
          <w:jc w:val="center"/>
        </w:trPr>
        <w:tc>
          <w:tcPr>
            <w:tcW w:w="1788"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jc w:val="center"/>
              <w:rPr>
                <w:kern w:val="0"/>
                <w:sz w:val="24"/>
              </w:rPr>
            </w:pPr>
            <w:r>
              <w:rPr>
                <w:kern w:val="0"/>
                <w:sz w:val="24"/>
              </w:rPr>
              <w:t>环评建议</w:t>
            </w:r>
          </w:p>
          <w:p>
            <w:pPr>
              <w:autoSpaceDE w:val="0"/>
              <w:autoSpaceDN w:val="0"/>
              <w:adjustRightInd w:val="0"/>
              <w:jc w:val="center"/>
              <w:rPr>
                <w:kern w:val="0"/>
                <w:sz w:val="20"/>
                <w:szCs w:val="20"/>
                <w:highlight w:val="green"/>
              </w:rPr>
            </w:pPr>
            <w:r>
              <w:rPr>
                <w:kern w:val="0"/>
                <w:sz w:val="24"/>
              </w:rPr>
              <w:t>和结论</w:t>
            </w:r>
          </w:p>
        </w:tc>
        <w:tc>
          <w:tcPr>
            <w:tcW w:w="7553" w:type="dxa"/>
            <w:tcBorders>
              <w:top w:val="single" w:color="auto" w:sz="8" w:space="0"/>
              <w:left w:val="single" w:color="auto" w:sz="8" w:space="0"/>
              <w:bottom w:val="single" w:color="auto" w:sz="8" w:space="0"/>
              <w:right w:val="single" w:color="auto" w:sz="8" w:space="0"/>
            </w:tcBorders>
          </w:tcPr>
          <w:p>
            <w:pPr>
              <w:pStyle w:val="51"/>
              <w:spacing w:line="500" w:lineRule="exact"/>
              <w:rPr>
                <w:rFonts w:ascii="Times New Roman"/>
              </w:rPr>
            </w:pPr>
            <w:r>
              <w:rPr>
                <w:rFonts w:ascii="Times New Roman"/>
              </w:rPr>
              <w:t>（4）固体废物：执行《中华人民共和国固体废物污染环境防治法》中有关规定、《深圳市危险废物转移管理办法》和《深圳市危险废物包装、标识及贮存的技术规范》。</w:t>
            </w:r>
          </w:p>
          <w:p>
            <w:pPr>
              <w:spacing w:line="500" w:lineRule="exact"/>
              <w:ind w:firstLine="482" w:firstLineChars="200"/>
              <w:rPr>
                <w:b/>
                <w:sz w:val="24"/>
              </w:rPr>
            </w:pPr>
            <w:r>
              <w:rPr>
                <w:b/>
                <w:sz w:val="24"/>
              </w:rPr>
              <w:t>6、结论</w:t>
            </w:r>
          </w:p>
          <w:p>
            <w:pPr>
              <w:pStyle w:val="51"/>
              <w:spacing w:line="500" w:lineRule="exact"/>
              <w:ind w:firstLine="480" w:firstLineChars="200"/>
              <w:rPr>
                <w:rFonts w:ascii="Times New Roman"/>
              </w:rPr>
            </w:pPr>
            <w:r>
              <w:rPr>
                <w:rFonts w:ascii="Times New Roman"/>
              </w:rPr>
              <w:t>综上所述，建设方应按照本报告提示，遵照相关法律法规要求，落实各项污染物的防治措施，加强环境管理水平，按照现申报的</w:t>
            </w:r>
            <w:r>
              <w:rPr>
                <w:rFonts w:hint="eastAsia" w:ascii="Times New Roman"/>
              </w:rPr>
              <w:t>内容和流程</w:t>
            </w:r>
            <w:r>
              <w:rPr>
                <w:rFonts w:ascii="Times New Roman"/>
              </w:rPr>
              <w:t>进行</w:t>
            </w:r>
            <w:r>
              <w:rPr>
                <w:rFonts w:hint="eastAsia" w:ascii="Times New Roman"/>
              </w:rPr>
              <w:t>生产</w:t>
            </w:r>
            <w:r>
              <w:rPr>
                <w:rFonts w:ascii="Times New Roman"/>
              </w:rPr>
              <w:t>，在保证各项污染物达标排放的情况下，从环境保护的角度分析，本项目按申报</w:t>
            </w:r>
            <w:r>
              <w:rPr>
                <w:rFonts w:hint="eastAsia" w:ascii="Times New Roman"/>
              </w:rPr>
              <w:t>情况</w:t>
            </w:r>
            <w:r>
              <w:rPr>
                <w:rFonts w:ascii="Times New Roman"/>
              </w:rPr>
              <w:t>在拟选地进行</w:t>
            </w:r>
            <w:r>
              <w:rPr>
                <w:rFonts w:hint="eastAsia" w:ascii="Times New Roman"/>
              </w:rPr>
              <w:t>生产</w:t>
            </w:r>
            <w:r>
              <w:rPr>
                <w:rFonts w:ascii="Times New Roman"/>
              </w:rPr>
              <w:t>是可行的。</w:t>
            </w:r>
          </w:p>
          <w:p>
            <w:pPr>
              <w:pStyle w:val="51"/>
              <w:spacing w:line="500" w:lineRule="exact"/>
              <w:ind w:firstLine="480" w:firstLineChars="200"/>
              <w:rPr>
                <w:rFonts w:ascii="Times New Roman"/>
              </w:rPr>
            </w:pPr>
          </w:p>
          <w:p>
            <w:pPr>
              <w:spacing w:line="360" w:lineRule="auto"/>
              <w:ind w:firstLine="480" w:firstLineChars="200"/>
              <w:rPr>
                <w:rFonts w:ascii="ˎ̥" w:hAnsi="ˎ̥"/>
                <w:sz w:val="24"/>
              </w:rPr>
            </w:pPr>
          </w:p>
        </w:tc>
      </w:tr>
    </w:tbl>
    <w:p>
      <w:pPr>
        <w:spacing w:line="360" w:lineRule="auto"/>
        <w:rPr>
          <w:b/>
          <w:sz w:val="28"/>
        </w:rPr>
        <w:sectPr>
          <w:pgSz w:w="11906" w:h="16838"/>
          <w:pgMar w:top="1077" w:right="1418" w:bottom="471" w:left="1418" w:header="851" w:footer="992" w:gutter="0"/>
          <w:pgNumType w:fmt="decimal"/>
          <w:cols w:space="720" w:num="1"/>
          <w:docGrid w:type="lines" w:linePitch="312" w:charSpace="0"/>
        </w:sectPr>
      </w:pPr>
    </w:p>
    <w:p>
      <w:pPr>
        <w:spacing w:line="360" w:lineRule="auto"/>
        <w:rPr>
          <w:b/>
          <w:sz w:val="28"/>
        </w:rPr>
      </w:pPr>
      <w:r>
        <w:rPr>
          <w:b/>
          <w:sz w:val="28"/>
        </w:rPr>
        <w:t>表二</w:t>
      </w:r>
    </w:p>
    <w:tbl>
      <w:tblPr>
        <w:tblStyle w:val="20"/>
        <w:tblW w:w="933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241" w:hRule="atLeast"/>
          <w:jc w:val="center"/>
        </w:trPr>
        <w:tc>
          <w:tcPr>
            <w:tcW w:w="9338" w:type="dxa"/>
          </w:tcPr>
          <w:p>
            <w:pPr>
              <w:pStyle w:val="6"/>
              <w:spacing w:line="360" w:lineRule="auto"/>
              <w:rPr>
                <w:szCs w:val="21"/>
              </w:rPr>
            </w:pPr>
            <w:r>
              <w:rPr>
                <w:b/>
                <w:sz w:val="28"/>
                <w:szCs w:val="28"/>
              </w:rPr>
              <w:t>一）工艺流程简述及污染物标识</w:t>
            </w:r>
            <w:r>
              <w:rPr>
                <w:szCs w:val="21"/>
              </w:rPr>
              <w:t>（废水：Wi；废气：Gi；废液：Li；固体废物：Si；噪声：Ni）</w:t>
            </w:r>
          </w:p>
          <w:p>
            <w:pPr>
              <w:pStyle w:val="15"/>
              <w:spacing w:line="360" w:lineRule="auto"/>
              <w:ind w:firstLine="354" w:firstLineChars="147"/>
              <w:rPr>
                <w:b/>
                <w:sz w:val="24"/>
                <w:szCs w:val="24"/>
              </w:rPr>
            </w:pPr>
            <w:r>
              <w:rPr>
                <w:rFonts w:hint="eastAsia"/>
                <w:b/>
                <w:sz w:val="24"/>
                <w:szCs w:val="24"/>
              </w:rPr>
              <w:t xml:space="preserve">1、生产工艺流程图： </w:t>
            </w:r>
          </w:p>
          <w:p>
            <w:pPr>
              <w:pStyle w:val="15"/>
              <w:spacing w:line="360" w:lineRule="auto"/>
              <w:ind w:firstLine="320" w:firstLineChars="199"/>
              <w:rPr>
                <w:b/>
              </w:rPr>
            </w:pPr>
            <w:r>
              <w:rPr>
                <w:rFonts w:hint="eastAsia"/>
                <w:b/>
                <w:bdr w:val="single" w:color="auto" w:sz="4" w:space="0"/>
              </w:rPr>
              <w:drawing>
                <wp:inline distT="0" distB="0" distL="0" distR="0">
                  <wp:extent cx="4888230" cy="4354195"/>
                  <wp:effectExtent l="0" t="0" r="7620" b="8255"/>
                  <wp:docPr id="58" name="图片 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88230" cy="4354195"/>
                          </a:xfrm>
                          <a:prstGeom prst="rect">
                            <a:avLst/>
                          </a:prstGeom>
                          <a:noFill/>
                          <a:ln>
                            <a:noFill/>
                          </a:ln>
                        </pic:spPr>
                      </pic:pic>
                    </a:graphicData>
                  </a:graphic>
                </wp:inline>
              </w:drawing>
            </w:r>
          </w:p>
          <w:p>
            <w:pPr>
              <w:pStyle w:val="15"/>
              <w:spacing w:line="360" w:lineRule="auto"/>
              <w:ind w:firstLine="482"/>
              <w:rPr>
                <w:b/>
                <w:sz w:val="24"/>
                <w:szCs w:val="24"/>
              </w:rPr>
            </w:pPr>
            <w:r>
              <w:rPr>
                <w:rFonts w:hint="eastAsia"/>
                <w:b/>
                <w:sz w:val="24"/>
                <w:szCs w:val="24"/>
              </w:rPr>
              <w:t>2、工艺流程简述</w:t>
            </w:r>
          </w:p>
          <w:p>
            <w:pPr>
              <w:spacing w:line="360" w:lineRule="auto"/>
              <w:ind w:firstLine="480" w:firstLineChars="200"/>
              <w:rPr>
                <w:sz w:val="24"/>
              </w:rPr>
            </w:pPr>
            <w:r>
              <w:rPr>
                <w:rFonts w:hint="eastAsia"/>
                <w:sz w:val="24"/>
              </w:rPr>
              <w:t>（1）、布料裁切后部分烫平、部分分切、部分锁边加工。</w:t>
            </w:r>
          </w:p>
          <w:p>
            <w:pPr>
              <w:spacing w:line="360" w:lineRule="auto"/>
              <w:ind w:firstLine="480" w:firstLineChars="200"/>
              <w:rPr>
                <w:sz w:val="24"/>
              </w:rPr>
            </w:pPr>
            <w:r>
              <w:rPr>
                <w:rFonts w:hint="eastAsia"/>
                <w:sz w:val="24"/>
              </w:rPr>
              <w:t>（2）、作书壳用的纸品进行开槽处理后和做封面的纸品一起用白乳胶粘合，接着进行压痕、折边、打孔处理。</w:t>
            </w:r>
          </w:p>
          <w:p>
            <w:pPr>
              <w:spacing w:line="360" w:lineRule="auto"/>
              <w:ind w:firstLine="480" w:firstLineChars="200"/>
              <w:rPr>
                <w:sz w:val="24"/>
              </w:rPr>
            </w:pPr>
            <w:r>
              <w:rPr>
                <w:rFonts w:hint="eastAsia"/>
                <w:sz w:val="24"/>
              </w:rPr>
              <w:t>（3）、将纸品数码打印标签后再分切好和布料一起粘合过胶。</w:t>
            </w:r>
          </w:p>
          <w:p>
            <w:pPr>
              <w:spacing w:line="360" w:lineRule="auto"/>
              <w:ind w:firstLine="480" w:firstLineChars="200"/>
              <w:rPr>
                <w:sz w:val="24"/>
              </w:rPr>
            </w:pPr>
            <w:r>
              <w:rPr>
                <w:rFonts w:hint="eastAsia"/>
                <w:sz w:val="24"/>
              </w:rPr>
              <w:t>（4）、将第（1）和第（2）用气钉或铆钉装配好后再和第（3）部分一起进行胶装，经检验后出货。</w:t>
            </w:r>
          </w:p>
          <w:p>
            <w:pPr>
              <w:spacing w:line="360" w:lineRule="auto"/>
              <w:ind w:firstLine="600" w:firstLineChars="250"/>
              <w:rPr>
                <w:sz w:val="24"/>
              </w:rPr>
            </w:pPr>
            <w:r>
              <w:rPr>
                <w:sz w:val="24"/>
              </w:rPr>
              <w:t>本</w:t>
            </w:r>
            <w:r>
              <w:rPr>
                <w:rFonts w:hint="eastAsia"/>
                <w:sz w:val="24"/>
              </w:rPr>
              <w:t>工艺</w:t>
            </w:r>
            <w:r>
              <w:rPr>
                <w:sz w:val="24"/>
              </w:rPr>
              <w:t>主要污染工序为</w:t>
            </w:r>
            <w:r>
              <w:rPr>
                <w:rFonts w:hint="eastAsia"/>
                <w:sz w:val="24"/>
              </w:rPr>
              <w:t>裁切、分切、锁边、气钉/铆钉装配、开槽、粘合、压痕、折边、打孔、胶装</w:t>
            </w:r>
            <w:r>
              <w:rPr>
                <w:rFonts w:hint="eastAsia"/>
                <w:color w:val="000000"/>
                <w:sz w:val="24"/>
              </w:rPr>
              <w:t>。</w:t>
            </w:r>
          </w:p>
          <w:p>
            <w:pPr>
              <w:spacing w:line="360" w:lineRule="auto"/>
              <w:ind w:firstLine="480" w:firstLineChars="200"/>
              <w:rPr>
                <w:sz w:val="24"/>
              </w:rPr>
            </w:pPr>
          </w:p>
          <w:p>
            <w:pPr>
              <w:pStyle w:val="15"/>
              <w:spacing w:line="360" w:lineRule="auto"/>
              <w:ind w:firstLine="422"/>
              <w:rPr>
                <w:b/>
                <w:sz w:val="24"/>
                <w:szCs w:val="24"/>
              </w:rPr>
            </w:pPr>
            <w:r>
              <w:rPr>
                <w:rFonts w:hint="eastAsia"/>
                <w:b/>
                <w:sz w:val="24"/>
                <w:szCs w:val="24"/>
              </w:rPr>
              <w:t>3、仓储流程</w:t>
            </w:r>
          </w:p>
          <w:p>
            <w:pPr>
              <w:spacing w:line="360" w:lineRule="auto"/>
              <w:ind w:firstLine="240" w:firstLineChars="100"/>
              <w:jc w:val="center"/>
              <w:rPr>
                <w:sz w:val="24"/>
              </w:rPr>
            </w:pPr>
            <w:r>
              <w:rPr>
                <w:sz w:val="24"/>
              </w:rPr>
              <w:drawing>
                <wp:inline distT="0" distB="0" distL="0" distR="0">
                  <wp:extent cx="5078730" cy="2686685"/>
                  <wp:effectExtent l="0" t="0" r="7620" b="0"/>
                  <wp:docPr id="56" name="图片 56" descr="未标题-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未标题-1 副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78730" cy="2686685"/>
                          </a:xfrm>
                          <a:prstGeom prst="rect">
                            <a:avLst/>
                          </a:prstGeom>
                          <a:noFill/>
                          <a:ln>
                            <a:noFill/>
                          </a:ln>
                        </pic:spPr>
                      </pic:pic>
                    </a:graphicData>
                  </a:graphic>
                </wp:inline>
              </w:drawing>
            </w:r>
          </w:p>
          <w:p>
            <w:pPr>
              <w:spacing w:line="360" w:lineRule="auto"/>
              <w:ind w:firstLine="420" w:firstLineChars="200"/>
            </w:pPr>
          </w:p>
          <w:p>
            <w:pPr>
              <w:spacing w:line="360" w:lineRule="auto"/>
              <w:ind w:firstLine="480" w:firstLineChars="200"/>
            </w:pPr>
            <w:r>
              <w:rPr>
                <w:rFonts w:hint="eastAsia"/>
                <w:sz w:val="24"/>
              </w:rPr>
              <w:t>布料、墙纸、窗帘、家居材料及其样板册的仓储配送的主要工</w:t>
            </w:r>
            <w:r>
              <w:rPr>
                <w:rFonts w:hint="eastAsia" w:hAnsi="宋体"/>
                <w:sz w:val="24"/>
              </w:rPr>
              <w:t>序为货物进出仓库、货物储存。</w:t>
            </w:r>
            <w:r>
              <w:rPr>
                <w:rFonts w:hint="eastAsia"/>
                <w:sz w:val="24"/>
              </w:rPr>
              <w:t>项目产生的主要污染物为汽车尾气、装卸货物产生的噪声。仓储区域主要在车间二楼北座。</w:t>
            </w:r>
          </w:p>
          <w:p>
            <w:pPr>
              <w:spacing w:line="360" w:lineRule="auto"/>
              <w:ind w:firstLine="480" w:firstLineChars="200"/>
              <w:rPr>
                <w:sz w:val="24"/>
              </w:rPr>
            </w:pPr>
          </w:p>
        </w:tc>
      </w:tr>
    </w:tbl>
    <w:p>
      <w:pPr>
        <w:pStyle w:val="6"/>
        <w:spacing w:before="11"/>
        <w:rPr>
          <w:b/>
          <w:sz w:val="28"/>
        </w:rPr>
        <w:sectPr>
          <w:pgSz w:w="11906" w:h="16838"/>
          <w:pgMar w:top="1077" w:right="1418" w:bottom="471" w:left="1418" w:header="851" w:footer="992" w:gutter="0"/>
          <w:pgNumType w:fmt="decimal"/>
          <w:cols w:space="720" w:num="1"/>
          <w:docGrid w:type="lines" w:linePitch="312" w:charSpace="0"/>
        </w:sectPr>
      </w:pPr>
      <w:bookmarkStart w:id="7" w:name="_Toc389032660"/>
    </w:p>
    <w:p>
      <w:pPr>
        <w:spacing w:line="360" w:lineRule="auto"/>
        <w:rPr>
          <w:b/>
          <w:sz w:val="28"/>
        </w:rPr>
      </w:pPr>
      <w:r>
        <w:rPr>
          <w:b/>
          <w:sz w:val="28"/>
        </w:rPr>
        <w:t>表二</w:t>
      </w:r>
    </w:p>
    <w:tbl>
      <w:tblPr>
        <w:tblStyle w:val="20"/>
        <w:tblW w:w="933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241" w:hRule="atLeast"/>
          <w:jc w:val="center"/>
        </w:trPr>
        <w:tc>
          <w:tcPr>
            <w:tcW w:w="9338" w:type="dxa"/>
          </w:tcPr>
          <w:p>
            <w:pPr>
              <w:keepLines/>
              <w:adjustRightInd w:val="0"/>
              <w:spacing w:line="360" w:lineRule="auto"/>
              <w:rPr>
                <w:b/>
                <w:bCs/>
                <w:sz w:val="28"/>
                <w:szCs w:val="28"/>
              </w:rPr>
            </w:pPr>
            <w:r>
              <w:rPr>
                <w:b/>
                <w:bCs/>
                <w:sz w:val="28"/>
                <w:szCs w:val="28"/>
              </w:rPr>
              <w:t>主要污染源分析</w:t>
            </w:r>
          </w:p>
          <w:p>
            <w:pPr>
              <w:pStyle w:val="15"/>
              <w:keepLines/>
              <w:spacing w:line="360" w:lineRule="auto"/>
              <w:rPr>
                <w:b/>
                <w:sz w:val="24"/>
                <w:szCs w:val="24"/>
              </w:rPr>
            </w:pPr>
            <w:r>
              <w:rPr>
                <w:b/>
                <w:sz w:val="24"/>
                <w:szCs w:val="24"/>
              </w:rPr>
              <w:t>1、污水</w:t>
            </w:r>
          </w:p>
          <w:p>
            <w:pPr>
              <w:adjustRightInd w:val="0"/>
              <w:snapToGrid w:val="0"/>
              <w:spacing w:line="360" w:lineRule="auto"/>
              <w:ind w:firstLine="480" w:firstLineChars="200"/>
              <w:rPr>
                <w:sz w:val="24"/>
              </w:rPr>
            </w:pPr>
            <w:r>
              <w:rPr>
                <w:sz w:val="24"/>
              </w:rPr>
              <w:t>工业废水：项目运营过程中没有生产废水产生和排放</w:t>
            </w:r>
            <w:r>
              <w:rPr>
                <w:rFonts w:hint="eastAsia"/>
                <w:sz w:val="24"/>
              </w:rPr>
              <w:t>。</w:t>
            </w:r>
          </w:p>
          <w:p>
            <w:pPr>
              <w:adjustRightInd w:val="0"/>
              <w:snapToGrid w:val="0"/>
              <w:spacing w:line="360" w:lineRule="auto"/>
              <w:ind w:firstLine="480" w:firstLineChars="200"/>
              <w:rPr>
                <w:sz w:val="24"/>
              </w:rPr>
            </w:pPr>
            <w:r>
              <w:rPr>
                <w:sz w:val="24"/>
              </w:rPr>
              <w:t>生活污水：本项目员工</w:t>
            </w:r>
            <w:r>
              <w:rPr>
                <w:rFonts w:hint="eastAsia"/>
                <w:sz w:val="24"/>
              </w:rPr>
              <w:t>400</w:t>
            </w:r>
            <w:r>
              <w:rPr>
                <w:sz w:val="24"/>
              </w:rPr>
              <w:t>人，员工不在厂区内食宿，项目员工生活用水量约为</w:t>
            </w:r>
            <w:r>
              <w:rPr>
                <w:rFonts w:hint="eastAsia"/>
                <w:sz w:val="24"/>
              </w:rPr>
              <w:t>0</w:t>
            </w:r>
            <w:r>
              <w:rPr>
                <w:sz w:val="24"/>
              </w:rPr>
              <w:t>.</w:t>
            </w:r>
            <w:r>
              <w:rPr>
                <w:rFonts w:hint="eastAsia"/>
                <w:sz w:val="24"/>
              </w:rPr>
              <w:t>0</w:t>
            </w:r>
            <w:r>
              <w:rPr>
                <w:sz w:val="24"/>
              </w:rPr>
              <w:t>4</w:t>
            </w:r>
            <w:r>
              <w:rPr>
                <w:rFonts w:hint="eastAsia"/>
                <w:sz w:val="24"/>
              </w:rPr>
              <w:t>t</w:t>
            </w:r>
            <w:r>
              <w:rPr>
                <w:sz w:val="24"/>
              </w:rPr>
              <w:t>/d，排水系数按0.9计，则项目员工生活污水排放量约</w:t>
            </w:r>
            <w:r>
              <w:rPr>
                <w:rFonts w:hint="eastAsia"/>
                <w:sz w:val="24"/>
              </w:rPr>
              <w:t>14</w:t>
            </w:r>
            <w:r>
              <w:rPr>
                <w:sz w:val="24"/>
              </w:rPr>
              <w:t>.</w:t>
            </w:r>
            <w:r>
              <w:rPr>
                <w:rFonts w:hint="eastAsia"/>
                <w:sz w:val="24"/>
              </w:rPr>
              <w:t>4t</w:t>
            </w:r>
            <w:r>
              <w:rPr>
                <w:sz w:val="24"/>
              </w:rPr>
              <w:t>/d，年排放量</w:t>
            </w:r>
            <w:r>
              <w:rPr>
                <w:rFonts w:hint="eastAsia"/>
                <w:sz w:val="24"/>
              </w:rPr>
              <w:t>约</w:t>
            </w:r>
            <w:r>
              <w:rPr>
                <w:sz w:val="24"/>
              </w:rPr>
              <w:t>为</w:t>
            </w:r>
            <w:r>
              <w:rPr>
                <w:rFonts w:hint="eastAsia"/>
                <w:sz w:val="24"/>
              </w:rPr>
              <w:t>4752</w:t>
            </w:r>
            <w:r>
              <w:rPr>
                <w:sz w:val="24"/>
              </w:rPr>
              <w:t>t，主要污染物有COD</w:t>
            </w:r>
            <w:r>
              <w:rPr>
                <w:sz w:val="24"/>
                <w:vertAlign w:val="subscript"/>
              </w:rPr>
              <w:t>cr</w:t>
            </w:r>
            <w:r>
              <w:rPr>
                <w:sz w:val="24"/>
              </w:rPr>
              <w:t>、BOD</w:t>
            </w:r>
            <w:r>
              <w:rPr>
                <w:sz w:val="24"/>
                <w:vertAlign w:val="subscript"/>
              </w:rPr>
              <w:t>5</w:t>
            </w:r>
            <w:r>
              <w:rPr>
                <w:sz w:val="24"/>
              </w:rPr>
              <w:t>、NH</w:t>
            </w:r>
            <w:r>
              <w:rPr>
                <w:sz w:val="24"/>
                <w:vertAlign w:val="subscript"/>
              </w:rPr>
              <w:t>3</w:t>
            </w:r>
            <w:r>
              <w:rPr>
                <w:sz w:val="24"/>
              </w:rPr>
              <w:t>-N。</w:t>
            </w:r>
          </w:p>
          <w:p>
            <w:pPr>
              <w:pStyle w:val="15"/>
              <w:keepLines/>
              <w:spacing w:line="360" w:lineRule="auto"/>
              <w:rPr>
                <w:b/>
                <w:sz w:val="24"/>
                <w:szCs w:val="24"/>
              </w:rPr>
            </w:pPr>
            <w:r>
              <w:rPr>
                <w:b/>
                <w:sz w:val="24"/>
                <w:szCs w:val="24"/>
              </w:rPr>
              <w:t>2、废气</w:t>
            </w:r>
          </w:p>
          <w:p>
            <w:pPr>
              <w:adjustRightInd w:val="0"/>
              <w:snapToGrid w:val="0"/>
              <w:spacing w:line="360" w:lineRule="auto"/>
              <w:ind w:firstLine="480" w:firstLineChars="200"/>
              <w:rPr>
                <w:sz w:val="24"/>
              </w:rPr>
            </w:pPr>
            <w:r>
              <w:rPr>
                <w:rFonts w:hint="eastAsia" w:hAnsi="宋体"/>
                <w:bCs/>
                <w:sz w:val="24"/>
              </w:rPr>
              <w:t>①、</w:t>
            </w:r>
            <w:r>
              <w:rPr>
                <w:rFonts w:hint="eastAsia" w:hAnsi="宋体"/>
                <w:bCs/>
                <w:color w:val="000000"/>
                <w:sz w:val="24"/>
              </w:rPr>
              <w:t>粘合和胶装</w:t>
            </w:r>
            <w:r>
              <w:rPr>
                <w:rFonts w:hint="eastAsia"/>
                <w:kern w:val="0"/>
                <w:sz w:val="24"/>
              </w:rPr>
              <w:t>废气：项目封面粘合和胶装过程中使用白乳胶和热熔胶，所产生的废气成份主要是非甲烷总烃。</w:t>
            </w:r>
          </w:p>
          <w:p>
            <w:pPr>
              <w:adjustRightInd w:val="0"/>
              <w:snapToGrid w:val="0"/>
              <w:spacing w:line="360" w:lineRule="auto"/>
              <w:ind w:firstLine="480" w:firstLineChars="200"/>
              <w:rPr>
                <w:sz w:val="24"/>
              </w:rPr>
            </w:pPr>
            <w:r>
              <w:rPr>
                <w:kern w:val="0"/>
                <w:sz w:val="24"/>
              </w:rPr>
              <w:t>项目</w:t>
            </w:r>
            <w:r>
              <w:rPr>
                <w:rFonts w:hint="eastAsia"/>
                <w:kern w:val="0"/>
                <w:sz w:val="24"/>
              </w:rPr>
              <w:t>热熔胶</w:t>
            </w:r>
            <w:r>
              <w:rPr>
                <w:kern w:val="0"/>
                <w:sz w:val="24"/>
              </w:rPr>
              <w:t>用量约</w:t>
            </w:r>
            <w:r>
              <w:rPr>
                <w:rFonts w:hint="eastAsia"/>
                <w:sz w:val="24"/>
              </w:rPr>
              <w:t>4</w:t>
            </w:r>
            <w:r>
              <w:rPr>
                <w:sz w:val="24"/>
              </w:rPr>
              <w:t>t</w:t>
            </w:r>
            <w:r>
              <w:rPr>
                <w:rFonts w:hint="eastAsia"/>
                <w:sz w:val="24"/>
              </w:rPr>
              <w:t>/</w:t>
            </w:r>
            <w:r>
              <w:rPr>
                <w:sz w:val="24"/>
              </w:rPr>
              <w:t>a</w:t>
            </w:r>
            <w:r>
              <w:rPr>
                <w:rFonts w:hint="eastAsia"/>
                <w:sz w:val="24"/>
              </w:rPr>
              <w:t>，白乳胶年用量为5</w:t>
            </w:r>
            <w:r>
              <w:rPr>
                <w:sz w:val="24"/>
              </w:rPr>
              <w:t>t</w:t>
            </w:r>
            <w:r>
              <w:rPr>
                <w:rFonts w:hint="eastAsia"/>
                <w:sz w:val="24"/>
              </w:rPr>
              <w:t>/a，则非甲烷总烃</w:t>
            </w:r>
            <w:r>
              <w:rPr>
                <w:sz w:val="24"/>
              </w:rPr>
              <w:t>的产生量约</w:t>
            </w:r>
            <w:r>
              <w:rPr>
                <w:rFonts w:hint="eastAsia"/>
                <w:sz w:val="24"/>
              </w:rPr>
              <w:t>为</w:t>
            </w:r>
            <w:r>
              <w:rPr>
                <w:sz w:val="24"/>
                <w:lang w:val="en-IE"/>
              </w:rPr>
              <w:t>1.8</w:t>
            </w:r>
            <w:r>
              <w:rPr>
                <w:rFonts w:hint="eastAsia"/>
                <w:sz w:val="24"/>
              </w:rPr>
              <w:t>k</w:t>
            </w:r>
            <w:r>
              <w:rPr>
                <w:sz w:val="24"/>
              </w:rPr>
              <w:t>g/a</w:t>
            </w:r>
            <w:r>
              <w:rPr>
                <w:rFonts w:hint="eastAsia"/>
                <w:sz w:val="24"/>
              </w:rPr>
              <w:t>，产生</w:t>
            </w:r>
            <w:r>
              <w:rPr>
                <w:sz w:val="24"/>
              </w:rPr>
              <w:t>速率为0</w:t>
            </w:r>
            <w:r>
              <w:rPr>
                <w:rFonts w:hint="eastAsia"/>
                <w:sz w:val="24"/>
              </w:rPr>
              <w:t>.</w:t>
            </w:r>
            <w:r>
              <w:rPr>
                <w:sz w:val="24"/>
              </w:rPr>
              <w:t>6818g/h</w:t>
            </w:r>
            <w:r>
              <w:rPr>
                <w:rFonts w:hint="eastAsia"/>
                <w:sz w:val="24"/>
              </w:rPr>
              <w:t>，</w:t>
            </w:r>
            <w:r>
              <w:rPr>
                <w:rFonts w:hint="eastAsia"/>
                <w:sz w:val="24"/>
                <w:lang w:val="en-IE"/>
              </w:rPr>
              <w:t>类比同类型项目</w:t>
            </w:r>
            <w:r>
              <w:rPr>
                <w:rFonts w:hint="eastAsia"/>
                <w:sz w:val="24"/>
              </w:rPr>
              <w:t>车间排气量约为1000m</w:t>
            </w:r>
            <w:r>
              <w:rPr>
                <w:rFonts w:hint="eastAsia"/>
                <w:sz w:val="24"/>
                <w:vertAlign w:val="superscript"/>
              </w:rPr>
              <w:t>3</w:t>
            </w:r>
            <w:r>
              <w:rPr>
                <w:rFonts w:hint="eastAsia"/>
                <w:sz w:val="24"/>
              </w:rPr>
              <w:t>/h，则非甲烷总烃的产生浓度为</w:t>
            </w:r>
            <w:r>
              <w:rPr>
                <w:sz w:val="24"/>
              </w:rPr>
              <w:t>0</w:t>
            </w:r>
            <w:r>
              <w:rPr>
                <w:rFonts w:hint="eastAsia"/>
                <w:sz w:val="24"/>
              </w:rPr>
              <w:t>.</w:t>
            </w:r>
            <w:r>
              <w:rPr>
                <w:sz w:val="24"/>
              </w:rPr>
              <w:t>6818</w:t>
            </w:r>
            <w:r>
              <w:rPr>
                <w:rFonts w:hint="eastAsia"/>
                <w:sz w:val="24"/>
              </w:rPr>
              <w:t>mg/m</w:t>
            </w:r>
            <w:r>
              <w:rPr>
                <w:rFonts w:hint="eastAsia"/>
                <w:sz w:val="24"/>
                <w:vertAlign w:val="superscript"/>
              </w:rPr>
              <w:t>3</w:t>
            </w:r>
            <w:r>
              <w:rPr>
                <w:rFonts w:hint="eastAsia"/>
                <w:sz w:val="24"/>
              </w:rPr>
              <w:t>。</w:t>
            </w:r>
          </w:p>
          <w:p>
            <w:pPr>
              <w:adjustRightInd w:val="0"/>
              <w:snapToGrid w:val="0"/>
              <w:spacing w:line="360" w:lineRule="auto"/>
              <w:ind w:firstLine="480" w:firstLineChars="200"/>
              <w:rPr>
                <w:kern w:val="0"/>
                <w:sz w:val="24"/>
              </w:rPr>
            </w:pPr>
            <w:r>
              <w:rPr>
                <w:rFonts w:hint="eastAsia"/>
                <w:sz w:val="24"/>
              </w:rPr>
              <w:t>②、汽车尾气：其主要污染因子为CO、氮氧化物。本项目运营期内货车载货次数频率较少，因此汽车尾气产生量较少，且只是间歇性的产生，属无组织形式排放</w:t>
            </w:r>
            <w:r>
              <w:rPr>
                <w:rFonts w:hint="eastAsia"/>
                <w:color w:val="000000"/>
                <w:sz w:val="24"/>
              </w:rPr>
              <w:t>。</w:t>
            </w:r>
          </w:p>
          <w:p>
            <w:pPr>
              <w:pStyle w:val="15"/>
              <w:keepLines/>
              <w:spacing w:line="360" w:lineRule="auto"/>
              <w:rPr>
                <w:b/>
                <w:sz w:val="24"/>
                <w:szCs w:val="24"/>
              </w:rPr>
            </w:pPr>
            <w:r>
              <w:rPr>
                <w:rFonts w:hint="eastAsia"/>
                <w:b/>
                <w:sz w:val="24"/>
                <w:szCs w:val="24"/>
              </w:rPr>
              <w:t>3、</w:t>
            </w:r>
            <w:r>
              <w:rPr>
                <w:b/>
                <w:sz w:val="24"/>
                <w:szCs w:val="24"/>
              </w:rPr>
              <w:t>噪声</w:t>
            </w:r>
          </w:p>
          <w:p>
            <w:pPr>
              <w:tabs>
                <w:tab w:val="left" w:pos="5775"/>
              </w:tabs>
              <w:spacing w:line="360" w:lineRule="auto"/>
              <w:ind w:firstLine="480" w:firstLineChars="200"/>
              <w:rPr>
                <w:color w:val="000000"/>
                <w:sz w:val="24"/>
              </w:rPr>
            </w:pPr>
            <w:r>
              <w:rPr>
                <w:rFonts w:hint="eastAsia"/>
                <w:color w:val="000000"/>
                <w:sz w:val="24"/>
              </w:rPr>
              <w:t>本项目生产过程中产生噪声的设备主要为：气钉枪、铆钉机、压痕机、分切机、折边机、打孔机、空压机等，</w:t>
            </w:r>
            <w:r>
              <w:rPr>
                <w:color w:val="000000"/>
                <w:sz w:val="24"/>
              </w:rPr>
              <w:t>根据类比同类项目的噪声强度</w:t>
            </w:r>
            <w:r>
              <w:rPr>
                <w:rFonts w:hint="eastAsia"/>
                <w:color w:val="000000"/>
                <w:sz w:val="24"/>
              </w:rPr>
              <w:t>为：68</w:t>
            </w:r>
            <w:r>
              <w:rPr>
                <w:color w:val="000000"/>
                <w:sz w:val="24"/>
              </w:rPr>
              <w:t>-72 dB(A)</w:t>
            </w:r>
            <w:r>
              <w:rPr>
                <w:rFonts w:hint="eastAsia"/>
                <w:color w:val="000000"/>
                <w:sz w:val="24"/>
              </w:rPr>
              <w:t>。</w:t>
            </w:r>
          </w:p>
          <w:p>
            <w:pPr>
              <w:tabs>
                <w:tab w:val="left" w:pos="5775"/>
              </w:tabs>
              <w:spacing w:line="360" w:lineRule="auto"/>
              <w:ind w:firstLine="480" w:firstLineChars="200"/>
              <w:rPr>
                <w:color w:val="000000"/>
                <w:sz w:val="24"/>
              </w:rPr>
            </w:pPr>
            <w:r>
              <w:rPr>
                <w:rFonts w:hint="eastAsia"/>
                <w:sz w:val="24"/>
              </w:rPr>
              <w:t>仓储配送过程中货物搬运/装卸过程产生，类比噪声值为65～70dB(A)；货运汽车的交通噪声</w:t>
            </w:r>
            <w:r>
              <w:rPr>
                <w:sz w:val="24"/>
              </w:rPr>
              <w:t>7</w:t>
            </w:r>
            <w:r>
              <w:rPr>
                <w:rFonts w:hint="eastAsia"/>
                <w:sz w:val="24"/>
              </w:rPr>
              <w:t>0～8</w:t>
            </w:r>
            <w:r>
              <w:rPr>
                <w:sz w:val="24"/>
              </w:rPr>
              <w:t>0dB(A)</w:t>
            </w:r>
            <w:r>
              <w:rPr>
                <w:rFonts w:hint="eastAsia"/>
                <w:sz w:val="24"/>
              </w:rPr>
              <w:t>。</w:t>
            </w:r>
          </w:p>
          <w:p>
            <w:pPr>
              <w:pStyle w:val="15"/>
              <w:keepLines/>
              <w:spacing w:line="360" w:lineRule="auto"/>
              <w:ind w:left="0" w:leftChars="0" w:firstLine="241" w:firstLineChars="100"/>
              <w:rPr>
                <w:sz w:val="24"/>
                <w:szCs w:val="24"/>
              </w:rPr>
            </w:pPr>
            <w:r>
              <w:rPr>
                <w:rFonts w:hint="eastAsia"/>
                <w:b/>
                <w:sz w:val="24"/>
                <w:szCs w:val="24"/>
              </w:rPr>
              <w:t xml:space="preserve"> </w:t>
            </w:r>
            <w:r>
              <w:rPr>
                <w:b/>
                <w:sz w:val="24"/>
                <w:szCs w:val="24"/>
              </w:rPr>
              <w:t>4、固体废物</w:t>
            </w:r>
          </w:p>
          <w:p>
            <w:pPr>
              <w:tabs>
                <w:tab w:val="left" w:pos="5775"/>
              </w:tabs>
              <w:spacing w:line="360" w:lineRule="auto"/>
              <w:ind w:firstLine="480" w:firstLineChars="200"/>
              <w:rPr>
                <w:color w:val="000000"/>
                <w:sz w:val="24"/>
              </w:rPr>
            </w:pPr>
            <w:r>
              <w:rPr>
                <w:rFonts w:hint="eastAsia"/>
                <w:color w:val="000000"/>
                <w:sz w:val="24"/>
              </w:rPr>
              <w:t>（1）生活垃圾：员工生活所产生的生活垃圾，按每人每天</w:t>
            </w:r>
            <w:r>
              <w:rPr>
                <w:color w:val="000000"/>
                <w:sz w:val="24"/>
              </w:rPr>
              <w:t>1.0kg</w:t>
            </w:r>
            <w:r>
              <w:rPr>
                <w:rFonts w:hint="eastAsia"/>
                <w:color w:val="000000"/>
                <w:sz w:val="24"/>
              </w:rPr>
              <w:t>计算，其产生量约400</w:t>
            </w:r>
            <w:r>
              <w:rPr>
                <w:color w:val="000000"/>
                <w:sz w:val="24"/>
              </w:rPr>
              <w:t>kg/d</w:t>
            </w:r>
            <w:r>
              <w:rPr>
                <w:rFonts w:hint="eastAsia"/>
                <w:color w:val="000000"/>
                <w:sz w:val="24"/>
              </w:rPr>
              <w:t>。</w:t>
            </w:r>
          </w:p>
          <w:p>
            <w:pPr>
              <w:tabs>
                <w:tab w:val="left" w:pos="5775"/>
              </w:tabs>
              <w:spacing w:line="360" w:lineRule="auto"/>
              <w:ind w:firstLine="480" w:firstLineChars="200"/>
              <w:rPr>
                <w:sz w:val="24"/>
              </w:rPr>
            </w:pPr>
            <w:r>
              <w:rPr>
                <w:sz w:val="24"/>
              </w:rPr>
              <w:t>（2）一般工业废物：</w:t>
            </w:r>
            <w:r>
              <w:rPr>
                <w:rFonts w:hint="eastAsia"/>
                <w:sz w:val="24"/>
              </w:rPr>
              <w:t>成品或原料包装过程中所产生的</w:t>
            </w:r>
            <w:r>
              <w:rPr>
                <w:rFonts w:hint="eastAsia"/>
                <w:bCs/>
                <w:sz w:val="24"/>
              </w:rPr>
              <w:t>废包装材料、废布料、废纸品其产生量分别为2t/a、6t/a、3t/a。</w:t>
            </w:r>
          </w:p>
          <w:p>
            <w:pPr>
              <w:adjustRightInd w:val="0"/>
              <w:snapToGrid w:val="0"/>
              <w:spacing w:line="360" w:lineRule="auto"/>
              <w:ind w:firstLine="480" w:firstLineChars="200"/>
              <w:rPr>
                <w:sz w:val="24"/>
              </w:rPr>
            </w:pPr>
            <w:r>
              <w:rPr>
                <w:rFonts w:hint="eastAsia"/>
                <w:sz w:val="24"/>
              </w:rPr>
              <w:t>（3）</w:t>
            </w:r>
            <w:r>
              <w:rPr>
                <w:sz w:val="24"/>
              </w:rPr>
              <w:t>危险废物：</w:t>
            </w:r>
            <w:r>
              <w:rPr>
                <w:rFonts w:hint="eastAsia"/>
                <w:sz w:val="24"/>
              </w:rPr>
              <w:t>废胶桶40个/年，废胶渣</w:t>
            </w:r>
            <w:r>
              <w:rPr>
                <w:rFonts w:hint="eastAsia"/>
                <w:szCs w:val="21"/>
              </w:rPr>
              <w:t>（</w:t>
            </w:r>
            <w:r>
              <w:rPr>
                <w:rFonts w:hint="eastAsia"/>
                <w:sz w:val="24"/>
              </w:rPr>
              <w:t>HW13</w:t>
            </w:r>
            <w:r>
              <w:rPr>
                <w:rFonts w:hint="eastAsia"/>
                <w:szCs w:val="21"/>
              </w:rPr>
              <w:t>）</w:t>
            </w:r>
            <w:r>
              <w:rPr>
                <w:rFonts w:hint="eastAsia"/>
                <w:sz w:val="24"/>
              </w:rPr>
              <w:t>产生量约0</w:t>
            </w:r>
            <w:r>
              <w:rPr>
                <w:sz w:val="24"/>
              </w:rPr>
              <w:t>.</w:t>
            </w:r>
            <w:r>
              <w:rPr>
                <w:rFonts w:hint="eastAsia"/>
                <w:sz w:val="24"/>
              </w:rPr>
              <w:t>1</w:t>
            </w:r>
            <w:r>
              <w:rPr>
                <w:sz w:val="24"/>
              </w:rPr>
              <w:t>5</w:t>
            </w:r>
            <w:r>
              <w:rPr>
                <w:rFonts w:hint="eastAsia"/>
                <w:sz w:val="24"/>
              </w:rPr>
              <w:t>t/a、废活性碳（HW49），产生量约0</w:t>
            </w:r>
            <w:r>
              <w:rPr>
                <w:sz w:val="24"/>
                <w:lang w:val="en-IE"/>
              </w:rPr>
              <w:t>.</w:t>
            </w:r>
            <w:r>
              <w:rPr>
                <w:rFonts w:hint="eastAsia"/>
                <w:sz w:val="24"/>
                <w:lang w:val="en-IE"/>
              </w:rPr>
              <w:t>2</w:t>
            </w:r>
            <w:r>
              <w:rPr>
                <w:rFonts w:hint="eastAsia"/>
                <w:bCs/>
                <w:sz w:val="24"/>
              </w:rPr>
              <w:t>t/a</w:t>
            </w:r>
            <w:r>
              <w:rPr>
                <w:rFonts w:hint="eastAsia"/>
                <w:sz w:val="24"/>
              </w:rPr>
              <w:t>；</w:t>
            </w:r>
          </w:p>
          <w:p>
            <w:pPr>
              <w:spacing w:line="360" w:lineRule="auto"/>
              <w:ind w:firstLine="480" w:firstLineChars="200"/>
              <w:rPr>
                <w:sz w:val="24"/>
              </w:rPr>
            </w:pPr>
          </w:p>
          <w:p>
            <w:pPr>
              <w:autoSpaceDE w:val="0"/>
              <w:autoSpaceDN w:val="0"/>
              <w:adjustRightInd w:val="0"/>
              <w:spacing w:line="360" w:lineRule="auto"/>
              <w:rPr>
                <w:sz w:val="24"/>
                <w:szCs w:val="52"/>
              </w:rPr>
            </w:pPr>
          </w:p>
        </w:tc>
      </w:tr>
    </w:tbl>
    <w:p>
      <w:pPr>
        <w:snapToGrid w:val="0"/>
        <w:spacing w:line="360" w:lineRule="auto"/>
        <w:rPr>
          <w:b/>
          <w:sz w:val="28"/>
        </w:rPr>
      </w:pPr>
      <w:r>
        <w:rPr>
          <w:b/>
          <w:sz w:val="28"/>
        </w:rPr>
        <w:t>表三</w:t>
      </w:r>
    </w:p>
    <w:tbl>
      <w:tblPr>
        <w:tblStyle w:val="20"/>
        <w:tblW w:w="933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230" w:hRule="atLeast"/>
          <w:jc w:val="center"/>
        </w:trPr>
        <w:tc>
          <w:tcPr>
            <w:tcW w:w="9338" w:type="dxa"/>
          </w:tcPr>
          <w:p>
            <w:pPr>
              <w:autoSpaceDE w:val="0"/>
              <w:autoSpaceDN w:val="0"/>
              <w:adjustRightInd w:val="0"/>
              <w:spacing w:line="360" w:lineRule="auto"/>
              <w:jc w:val="left"/>
              <w:rPr>
                <w:b/>
                <w:kern w:val="0"/>
                <w:sz w:val="24"/>
              </w:rPr>
            </w:pPr>
            <w:r>
              <w:rPr>
                <w:b/>
                <w:kern w:val="0"/>
                <w:sz w:val="24"/>
              </w:rPr>
              <w:t>主要污染源、污染物处理和排放流程(附示意图、标出监测点位)：</w:t>
            </w:r>
          </w:p>
          <w:p>
            <w:pPr>
              <w:autoSpaceDE w:val="0"/>
              <w:autoSpaceDN w:val="0"/>
              <w:adjustRightInd w:val="0"/>
              <w:spacing w:line="360" w:lineRule="auto"/>
              <w:jc w:val="left"/>
              <w:rPr>
                <w:b/>
                <w:kern w:val="0"/>
                <w:sz w:val="20"/>
                <w:szCs w:val="20"/>
              </w:rPr>
            </w:pPr>
            <w:r>
              <w:rPr>
                <w:b/>
                <w:kern w:val="0"/>
                <w:sz w:val="24"/>
              </w:rPr>
              <w:t>1、废水：</w:t>
            </w:r>
          </w:p>
          <w:p>
            <w:pPr>
              <w:spacing w:line="360" w:lineRule="auto"/>
              <w:ind w:firstLine="480" w:firstLineChars="200"/>
              <w:rPr>
                <w:sz w:val="24"/>
              </w:rPr>
            </w:pPr>
            <w:r>
              <w:rPr>
                <w:sz w:val="24"/>
              </w:rPr>
              <w:t>生活污水：</w:t>
            </w:r>
            <w:r>
              <w:rPr>
                <w:kern w:val="0"/>
                <w:sz w:val="24"/>
              </w:rPr>
              <w:t>项目产生的生活污水经化粪池处理后接入市政管网，汇入盐田污水处理厂处理后排放</w:t>
            </w:r>
            <w:r>
              <w:rPr>
                <w:rFonts w:hint="eastAsia"/>
                <w:kern w:val="0"/>
                <w:sz w:val="24"/>
              </w:rPr>
              <w:t>,</w:t>
            </w:r>
            <w:r>
              <w:rPr>
                <w:sz w:val="24"/>
                <w:lang w:val="en-GB"/>
              </w:rPr>
              <w:t xml:space="preserve"> 流程如图11所示</w:t>
            </w:r>
          </w:p>
          <w:p>
            <w:pPr>
              <w:autoSpaceDE w:val="0"/>
              <w:autoSpaceDN w:val="0"/>
              <w:adjustRightInd w:val="0"/>
              <w:spacing w:line="360" w:lineRule="auto"/>
              <w:ind w:firstLine="482" w:firstLineChars="200"/>
              <w:jc w:val="left"/>
              <w:rPr>
                <w:sz w:val="24"/>
              </w:rPr>
            </w:pPr>
            <w:r>
              <w:rPr>
                <w:b/>
                <w:kern w:val="0"/>
                <w:sz w:val="24"/>
              </w:rPr>
              <mc:AlternateContent>
                <mc:Choice Requires="wps">
                  <w:drawing>
                    <wp:anchor distT="0" distB="0" distL="114300" distR="114300" simplePos="0" relativeHeight="252017664" behindDoc="0" locked="0" layoutInCell="1" allowOverlap="1">
                      <wp:simplePos x="0" y="0"/>
                      <wp:positionH relativeFrom="column">
                        <wp:posOffset>2336165</wp:posOffset>
                      </wp:positionH>
                      <wp:positionV relativeFrom="paragraph">
                        <wp:posOffset>156845</wp:posOffset>
                      </wp:positionV>
                      <wp:extent cx="458470" cy="269875"/>
                      <wp:effectExtent l="635" t="0" r="0" b="0"/>
                      <wp:wrapNone/>
                      <wp:docPr id="106" name="Text Box 1199"/>
                      <wp:cNvGraphicFramePr/>
                      <a:graphic xmlns:a="http://schemas.openxmlformats.org/drawingml/2006/main">
                        <a:graphicData uri="http://schemas.microsoft.com/office/word/2010/wordprocessingShape">
                          <wps:wsp>
                            <wps:cNvSpPr txBox="1">
                              <a:spLocks noChangeArrowheads="1"/>
                            </wps:cNvSpPr>
                            <wps:spPr bwMode="auto">
                              <a:xfrm>
                                <a:off x="0" y="0"/>
                                <a:ext cx="458470" cy="269875"/>
                              </a:xfrm>
                              <a:prstGeom prst="rect">
                                <a:avLst/>
                              </a:prstGeom>
                              <a:noFill/>
                              <a:ln>
                                <a:noFill/>
                              </a:ln>
                            </wps:spPr>
                            <wps:txbx>
                              <w:txbxContent>
                                <w:p>
                                  <w:pPr>
                                    <w:rPr>
                                      <w:sz w:val="18"/>
                                      <w:szCs w:val="18"/>
                                    </w:rPr>
                                  </w:pPr>
                                  <w:r>
                                    <w:rPr>
                                      <w:rFonts w:hint="eastAsia"/>
                                      <w:sz w:val="18"/>
                                      <w:szCs w:val="18"/>
                                    </w:rPr>
                                    <w:t>★S1</w:t>
                                  </w:r>
                                </w:p>
                              </w:txbxContent>
                            </wps:txbx>
                            <wps:bodyPr rot="0" vert="horz" wrap="square" lIns="91440" tIns="45720" rIns="91440" bIns="45720" anchor="t" anchorCtr="0" upright="1">
                              <a:noAutofit/>
                            </wps:bodyPr>
                          </wps:wsp>
                        </a:graphicData>
                      </a:graphic>
                    </wp:anchor>
                  </w:drawing>
                </mc:Choice>
                <mc:Fallback>
                  <w:pict>
                    <v:shape id="Text Box 1199" o:spid="_x0000_s1026" o:spt="202" type="#_x0000_t202" style="position:absolute;left:0pt;margin-left:183.95pt;margin-top:12.35pt;height:21.25pt;width:36.1pt;z-index:252017664;mso-width-relative:page;mso-height-relative:page;" filled="f" stroked="f" coordsize="21600,21600" o:gfxdata="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4vZ+XXAAAACQEAAA8AAAAAAAAAAQAgAAAAIgAAAGRycy9kb3ducmV2LnhtbFBLAQIUABQAAAAI&#10;AIdO4kBDbUrv7gEAAMoDAAAOAAAAAAAAAAEAIAAAACYBAABkcnMvZTJvRG9jLnhtbFBLBQYAAAAA&#10;BgAGAFkBAACGBQAAAAA=&#10;">
                      <v:fill on="f" focussize="0,0"/>
                      <v:stroke on="f"/>
                      <v:imagedata o:title=""/>
                      <o:lock v:ext="edit" aspectratio="f"/>
                      <v:textbox>
                        <w:txbxContent>
                          <w:p>
                            <w:pPr>
                              <w:rPr>
                                <w:sz w:val="18"/>
                                <w:szCs w:val="18"/>
                              </w:rPr>
                            </w:pPr>
                            <w:r>
                              <w:rPr>
                                <w:rFonts w:hint="eastAsia"/>
                                <w:sz w:val="18"/>
                                <w:szCs w:val="18"/>
                              </w:rPr>
                              <w:t>★S1</w:t>
                            </w:r>
                          </w:p>
                        </w:txbxContent>
                      </v:textbox>
                    </v:shape>
                  </w:pict>
                </mc:Fallback>
              </mc:AlternateContent>
            </w:r>
          </w:p>
          <w:p>
            <w:pPr>
              <w:spacing w:line="360" w:lineRule="auto"/>
              <w:ind w:firstLine="422" w:firstLineChars="150"/>
              <w:rPr>
                <w:b/>
                <w:sz w:val="24"/>
              </w:rPr>
            </w:pPr>
            <w:r>
              <w:rPr>
                <w:b/>
                <w:sz w:val="28"/>
                <w:szCs w:val="28"/>
              </w:rPr>
              <mc:AlternateContent>
                <mc:Choice Requires="wps">
                  <w:drawing>
                    <wp:anchor distT="0" distB="0" distL="114300" distR="114300" simplePos="0" relativeHeight="251977728" behindDoc="0" locked="0" layoutInCell="1" allowOverlap="1">
                      <wp:simplePos x="0" y="0"/>
                      <wp:positionH relativeFrom="column">
                        <wp:posOffset>1490345</wp:posOffset>
                      </wp:positionH>
                      <wp:positionV relativeFrom="paragraph">
                        <wp:posOffset>25400</wp:posOffset>
                      </wp:positionV>
                      <wp:extent cx="819150" cy="296545"/>
                      <wp:effectExtent l="12065" t="10795" r="6985" b="6985"/>
                      <wp:wrapNone/>
                      <wp:docPr id="105" name="Quad Arrow 128"/>
                      <wp:cNvGraphicFramePr/>
                      <a:graphic xmlns:a="http://schemas.openxmlformats.org/drawingml/2006/main">
                        <a:graphicData uri="http://schemas.microsoft.com/office/word/2010/wordprocessingShape">
                          <wps:wsp>
                            <wps:cNvSpPr txBox="1">
                              <a:spLocks noChangeArrowheads="1"/>
                            </wps:cNvSpPr>
                            <wps:spPr bwMode="auto">
                              <a:xfrm>
                                <a:off x="0" y="0"/>
                                <a:ext cx="819150" cy="296545"/>
                              </a:xfrm>
                              <a:prstGeom prst="rect">
                                <a:avLst/>
                              </a:prstGeom>
                              <a:solidFill>
                                <a:srgbClr val="FFFFFF"/>
                              </a:solidFill>
                              <a:ln w="9525">
                                <a:solidFill>
                                  <a:srgbClr val="000000"/>
                                </a:solidFill>
                                <a:miter lim="200000"/>
                              </a:ln>
                            </wps:spPr>
                            <wps:txbx>
                              <w:txbxContent>
                                <w:p>
                                  <w:pPr>
                                    <w:jc w:val="center"/>
                                    <w:rPr>
                                      <w:sz w:val="18"/>
                                      <w:szCs w:val="18"/>
                                    </w:rPr>
                                  </w:pPr>
                                  <w:r>
                                    <w:rPr>
                                      <w:rFonts w:hint="eastAsia"/>
                                      <w:sz w:val="18"/>
                                      <w:szCs w:val="18"/>
                                    </w:rPr>
                                    <w:t>三级化粪池</w:t>
                                  </w:r>
                                </w:p>
                              </w:txbxContent>
                            </wps:txbx>
                            <wps:bodyPr rot="0" vert="horz" wrap="square" lIns="91440" tIns="45720" rIns="91440" bIns="45720" anchor="t" anchorCtr="0" upright="1">
                              <a:noAutofit/>
                            </wps:bodyPr>
                          </wps:wsp>
                        </a:graphicData>
                      </a:graphic>
                    </wp:anchor>
                  </w:drawing>
                </mc:Choice>
                <mc:Fallback>
                  <w:pict>
                    <v:shape id="Quad Arrow 128" o:spid="_x0000_s1026" o:spt="202" type="#_x0000_t202" style="position:absolute;left:0pt;margin-left:117.35pt;margin-top:2pt;height:23.35pt;width:64.5pt;z-index:251977728;mso-width-relative:page;mso-height-relative:page;" fillcolor="#FFFFFF" filled="t" stroked="t" coordsize="21600,21600" o:gfxdata="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elS5dgAAAAIAQAADwAA&#10;AAAAAAABACAAAAAiAAAAZHJzL2Rvd25yZXYueG1sUEsBAhQAFAAAAAgAh07iQHs9SmwWAgAAPQQA&#10;AA4AAAAAAAAAAQAgAAAAJwEAAGRycy9lMm9Eb2MueG1sUEsFBgAAAAAGAAYAWQEAAK8FAAAAAA==&#10;">
                      <v:fill on="t" focussize="0,0"/>
                      <v:stroke color="#000000" miterlimit="2" joinstyle="miter"/>
                      <v:imagedata o:title=""/>
                      <o:lock v:ext="edit" aspectratio="f"/>
                      <v:textbox>
                        <w:txbxContent>
                          <w:p>
                            <w:pPr>
                              <w:jc w:val="center"/>
                              <w:rPr>
                                <w:sz w:val="18"/>
                                <w:szCs w:val="18"/>
                              </w:rPr>
                            </w:pPr>
                            <w:r>
                              <w:rPr>
                                <w:rFonts w:hint="eastAsia"/>
                                <w:sz w:val="18"/>
                                <w:szCs w:val="18"/>
                              </w:rPr>
                              <w:t>三级化粪池</w:t>
                            </w:r>
                          </w:p>
                        </w:txbxContent>
                      </v:textbox>
                    </v:shape>
                  </w:pict>
                </mc:Fallback>
              </mc:AlternateContent>
            </w:r>
            <w:r>
              <w:rPr>
                <w:b/>
                <w:sz w:val="28"/>
                <w:szCs w:val="28"/>
              </w:rPr>
              <mc:AlternateContent>
                <mc:Choice Requires="wps">
                  <w:drawing>
                    <wp:anchor distT="0" distB="0" distL="114300" distR="114300" simplePos="0" relativeHeight="251982848" behindDoc="0" locked="0" layoutInCell="1" allowOverlap="1">
                      <wp:simplePos x="0" y="0"/>
                      <wp:positionH relativeFrom="column">
                        <wp:posOffset>1137920</wp:posOffset>
                      </wp:positionH>
                      <wp:positionV relativeFrom="paragraph">
                        <wp:posOffset>169545</wp:posOffset>
                      </wp:positionV>
                      <wp:extent cx="352425" cy="0"/>
                      <wp:effectExtent l="12065" t="59690" r="16510" b="54610"/>
                      <wp:wrapNone/>
                      <wp:docPr id="104" name="Straight Connector 274"/>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tailEnd type="triangle" w="med" len="med"/>
                              </a:ln>
                            </wps:spPr>
                            <wps:bodyPr/>
                          </wps:wsp>
                        </a:graphicData>
                      </a:graphic>
                    </wp:anchor>
                  </w:drawing>
                </mc:Choice>
                <mc:Fallback>
                  <w:pict>
                    <v:shape id="Straight Connector 274" o:spid="_x0000_s1026" o:spt="32" type="#_x0000_t32" style="position:absolute;left:0pt;margin-left:89.6pt;margin-top:13.35pt;height:0pt;width:27.75pt;z-index:251982848;mso-width-relative:page;mso-height-relative:page;" filled="f" stroked="t" coordsize="21600,21600" o:gfxdata="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gsk9PYAAAACQEAAA8AAAAAAAAAAQAg&#10;AAAAIgAAAGRycy9kb3ducmV2LnhtbFBLAQIUABQAAAAIAIdO4kA1zqBe1QEAAJ4DAAAOAAAAAAAA&#10;AAEAIAAAACcBAABkcnMvZTJvRG9jLnhtbFBLBQYAAAAABgAGAFkBAABuBQAAAAA=&#10;">
                      <v:fill on="f" focussize="0,0"/>
                      <v:stroke color="#000000" joinstyle="round" endarrow="block"/>
                      <v:imagedata o:title=""/>
                      <o:lock v:ext="edit" aspectratio="f"/>
                    </v:shape>
                  </w:pict>
                </mc:Fallback>
              </mc:AlternateContent>
            </w:r>
            <w:r>
              <w:rPr>
                <w:b/>
                <w:sz w:val="28"/>
                <w:szCs w:val="28"/>
              </w:rPr>
              <mc:AlternateContent>
                <mc:Choice Requires="wps">
                  <w:drawing>
                    <wp:anchor distT="0" distB="0" distL="114300" distR="114300" simplePos="0" relativeHeight="251983872" behindDoc="0" locked="0" layoutInCell="1" allowOverlap="1">
                      <wp:simplePos x="0" y="0"/>
                      <wp:positionH relativeFrom="column">
                        <wp:posOffset>2338070</wp:posOffset>
                      </wp:positionH>
                      <wp:positionV relativeFrom="paragraph">
                        <wp:posOffset>168910</wp:posOffset>
                      </wp:positionV>
                      <wp:extent cx="363855" cy="1270"/>
                      <wp:effectExtent l="12065" t="59055" r="14605" b="53975"/>
                      <wp:wrapNone/>
                      <wp:docPr id="103" name="AutoShape 1163"/>
                      <wp:cNvGraphicFramePr/>
                      <a:graphic xmlns:a="http://schemas.openxmlformats.org/drawingml/2006/main">
                        <a:graphicData uri="http://schemas.microsoft.com/office/word/2010/wordprocessingShape">
                          <wps:wsp>
                            <wps:cNvCnPr>
                              <a:cxnSpLocks noChangeShapeType="1"/>
                            </wps:cNvCnPr>
                            <wps:spPr bwMode="auto">
                              <a:xfrm>
                                <a:off x="0" y="0"/>
                                <a:ext cx="363855" cy="1270"/>
                              </a:xfrm>
                              <a:prstGeom prst="straightConnector1">
                                <a:avLst/>
                              </a:prstGeom>
                              <a:noFill/>
                              <a:ln w="9525">
                                <a:solidFill>
                                  <a:srgbClr val="000000"/>
                                </a:solidFill>
                                <a:round/>
                                <a:tailEnd type="triangle" w="med" len="med"/>
                              </a:ln>
                            </wps:spPr>
                            <wps:bodyPr/>
                          </wps:wsp>
                        </a:graphicData>
                      </a:graphic>
                    </wp:anchor>
                  </w:drawing>
                </mc:Choice>
                <mc:Fallback>
                  <w:pict>
                    <v:shape id="AutoShape 1163" o:spid="_x0000_s1026" o:spt="32" type="#_x0000_t32" style="position:absolute;left:0pt;margin-left:184.1pt;margin-top:13.3pt;height:0.1pt;width:28.65pt;z-index:251983872;mso-width-relative:page;mso-height-relative:page;" filled="f" stroked="t" coordsize="21600,21600" o:gfxdata="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ZM5PdkAAAAJAQAADwAA&#10;AAAAAAABACAAAAAiAAAAZHJzL2Rvd25yZXYueG1sUEsBAhQAFAAAAAgAh07iQFrAlyDcAQAAmQMA&#10;AA4AAAAAAAAAAQAgAAAAKAEAAGRycy9lMm9Eb2MueG1sUEsFBgAAAAAGAAYAWQEAAHYFAAAAAA==&#10;">
                      <v:fill on="f" focussize="0,0"/>
                      <v:stroke color="#000000" joinstyle="round" endarrow="block"/>
                      <v:imagedata o:title=""/>
                      <o:lock v:ext="edit" aspectratio="f"/>
                    </v:shape>
                  </w:pict>
                </mc:Fallback>
              </mc:AlternateContent>
            </w:r>
            <w:r>
              <w:rPr>
                <w:b/>
                <w:sz w:val="28"/>
                <w:szCs w:val="28"/>
              </w:rPr>
              <mc:AlternateContent>
                <mc:Choice Requires="wps">
                  <w:drawing>
                    <wp:anchor distT="0" distB="0" distL="114300" distR="114300" simplePos="0" relativeHeight="251979776" behindDoc="0" locked="0" layoutInCell="1" allowOverlap="1">
                      <wp:simplePos x="0" y="0"/>
                      <wp:positionH relativeFrom="column">
                        <wp:posOffset>5071745</wp:posOffset>
                      </wp:positionH>
                      <wp:positionV relativeFrom="paragraph">
                        <wp:posOffset>40640</wp:posOffset>
                      </wp:positionV>
                      <wp:extent cx="475615" cy="273050"/>
                      <wp:effectExtent l="12065" t="6985" r="7620" b="5715"/>
                      <wp:wrapNone/>
                      <wp:docPr id="102" name="Quad Arrow 134"/>
                      <wp:cNvGraphicFramePr/>
                      <a:graphic xmlns:a="http://schemas.openxmlformats.org/drawingml/2006/main">
                        <a:graphicData uri="http://schemas.microsoft.com/office/word/2010/wordprocessingShape">
                          <wps:wsp>
                            <wps:cNvSpPr txBox="1">
                              <a:spLocks noChangeArrowheads="1"/>
                            </wps:cNvSpPr>
                            <wps:spPr bwMode="auto">
                              <a:xfrm>
                                <a:off x="0" y="0"/>
                                <a:ext cx="475615" cy="273050"/>
                              </a:xfrm>
                              <a:prstGeom prst="rect">
                                <a:avLst/>
                              </a:prstGeom>
                              <a:solidFill>
                                <a:srgbClr val="FFFFFF"/>
                              </a:solidFill>
                              <a:ln w="9525">
                                <a:solidFill>
                                  <a:srgbClr val="000000"/>
                                </a:solidFill>
                                <a:miter lim="200000"/>
                              </a:ln>
                            </wps:spPr>
                            <wps:txbx>
                              <w:txbxContent>
                                <w:p>
                                  <w:pPr>
                                    <w:jc w:val="center"/>
                                    <w:rPr>
                                      <w:sz w:val="18"/>
                                      <w:szCs w:val="18"/>
                                    </w:rPr>
                                  </w:pPr>
                                  <w:r>
                                    <w:rPr>
                                      <w:rFonts w:hint="eastAsia"/>
                                      <w:sz w:val="18"/>
                                      <w:szCs w:val="18"/>
                                    </w:rPr>
                                    <w:t>排放</w:t>
                                  </w:r>
                                </w:p>
                              </w:txbxContent>
                            </wps:txbx>
                            <wps:bodyPr rot="0" vert="horz" wrap="square" lIns="91440" tIns="45720" rIns="91440" bIns="45720" anchor="t" anchorCtr="0" upright="1">
                              <a:noAutofit/>
                            </wps:bodyPr>
                          </wps:wsp>
                        </a:graphicData>
                      </a:graphic>
                    </wp:anchor>
                  </w:drawing>
                </mc:Choice>
                <mc:Fallback>
                  <w:pict>
                    <v:shape id="Quad Arrow 134" o:spid="_x0000_s1026" o:spt="202" type="#_x0000_t202" style="position:absolute;left:0pt;margin-left:399.35pt;margin-top:3.2pt;height:21.5pt;width:37.45pt;z-index:251979776;mso-width-relative:page;mso-height-relative:page;" fillcolor="#FFFFFF" filled="t" stroked="t" coordsize="21600,21600" o:gfxdata="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1hKS9oAAAAIAQAA&#10;DwAAAAAAAAABACAAAAAiAAAAZHJzL2Rvd25yZXYueG1sUEsBAhQAFAAAAAgAh07iQEG6WygXAgAA&#10;PQQAAA4AAAAAAAAAAQAgAAAAKQEAAGRycy9lMm9Eb2MueG1sUEsFBgAAAAAGAAYAWQEAALIFAAAA&#10;AA==&#10;">
                      <v:fill on="t" focussize="0,0"/>
                      <v:stroke color="#000000" miterlimit="2" joinstyle="miter"/>
                      <v:imagedata o:title=""/>
                      <o:lock v:ext="edit" aspectratio="f"/>
                      <v:textbox>
                        <w:txbxContent>
                          <w:p>
                            <w:pPr>
                              <w:jc w:val="center"/>
                              <w:rPr>
                                <w:sz w:val="18"/>
                                <w:szCs w:val="18"/>
                              </w:rPr>
                            </w:pPr>
                            <w:r>
                              <w:rPr>
                                <w:rFonts w:hint="eastAsia"/>
                                <w:sz w:val="18"/>
                                <w:szCs w:val="18"/>
                              </w:rPr>
                              <w:t>排放</w:t>
                            </w:r>
                          </w:p>
                        </w:txbxContent>
                      </v:textbox>
                    </v:shape>
                  </w:pict>
                </mc:Fallback>
              </mc:AlternateContent>
            </w:r>
            <w:r>
              <w:rPr>
                <w:b/>
                <w:sz w:val="28"/>
                <w:szCs w:val="28"/>
              </w:rPr>
              <mc:AlternateContent>
                <mc:Choice Requires="wps">
                  <w:drawing>
                    <wp:anchor distT="0" distB="0" distL="114300" distR="114300" simplePos="0" relativeHeight="251980800" behindDoc="0" locked="0" layoutInCell="1" allowOverlap="1">
                      <wp:simplePos x="0" y="0"/>
                      <wp:positionH relativeFrom="column">
                        <wp:posOffset>4787265</wp:posOffset>
                      </wp:positionH>
                      <wp:positionV relativeFrom="paragraph">
                        <wp:posOffset>169545</wp:posOffset>
                      </wp:positionV>
                      <wp:extent cx="284480" cy="0"/>
                      <wp:effectExtent l="13335" t="59690" r="16510" b="54610"/>
                      <wp:wrapNone/>
                      <wp:docPr id="101" name="Straight Connector 162"/>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tailEnd type="triangle" w="med" len="med"/>
                              </a:ln>
                            </wps:spPr>
                            <wps:bodyPr/>
                          </wps:wsp>
                        </a:graphicData>
                      </a:graphic>
                    </wp:anchor>
                  </w:drawing>
                </mc:Choice>
                <mc:Fallback>
                  <w:pict>
                    <v:shape id="Straight Connector 162" o:spid="_x0000_s1026" o:spt="32" type="#_x0000_t32" style="position:absolute;left:0pt;margin-left:376.95pt;margin-top:13.35pt;height:0pt;width:22.4pt;z-index:251980800;mso-width-relative:page;mso-height-relative:page;" filled="f" stroked="t" coordsize="21600,21600" o:gfxdata="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qjcWtgAAAAJAQAADwAAAAAAAAAB&#10;ACAAAAAiAAAAZHJzL2Rvd25yZXYueG1sUEsBAhQAFAAAAAgAh07iQO7ZuzfXAQAAngMAAA4AAAAA&#10;AAAAAQAgAAAAJwEAAGRycy9lMm9Eb2MueG1sUEsFBgAAAAAGAAYAWQEAAHAFAAAAAA==&#10;">
                      <v:fill on="f" focussize="0,0"/>
                      <v:stroke color="#000000" joinstyle="round" endarrow="block"/>
                      <v:imagedata o:title=""/>
                      <o:lock v:ext="edit" aspectratio="f"/>
                    </v:shape>
                  </w:pict>
                </mc:Fallback>
              </mc:AlternateContent>
            </w:r>
            <w:r>
              <w:rPr>
                <w:b/>
                <w:sz w:val="28"/>
                <w:szCs w:val="28"/>
              </w:rPr>
              <mc:AlternateContent>
                <mc:Choice Requires="wps">
                  <w:drawing>
                    <wp:anchor distT="0" distB="0" distL="114300" distR="114300" simplePos="0" relativeHeight="251978752" behindDoc="0" locked="0" layoutInCell="1" allowOverlap="1">
                      <wp:simplePos x="0" y="0"/>
                      <wp:positionH relativeFrom="column">
                        <wp:posOffset>3717925</wp:posOffset>
                      </wp:positionH>
                      <wp:positionV relativeFrom="paragraph">
                        <wp:posOffset>38100</wp:posOffset>
                      </wp:positionV>
                      <wp:extent cx="1046480" cy="274955"/>
                      <wp:effectExtent l="10795" t="13970" r="9525" b="6350"/>
                      <wp:wrapNone/>
                      <wp:docPr id="100" name="Quad Arrow 133"/>
                      <wp:cNvGraphicFramePr/>
                      <a:graphic xmlns:a="http://schemas.openxmlformats.org/drawingml/2006/main">
                        <a:graphicData uri="http://schemas.microsoft.com/office/word/2010/wordprocessingShape">
                          <wps:wsp>
                            <wps:cNvSpPr txBox="1">
                              <a:spLocks noChangeArrowheads="1"/>
                            </wps:cNvSpPr>
                            <wps:spPr bwMode="auto">
                              <a:xfrm>
                                <a:off x="0" y="0"/>
                                <a:ext cx="1046480" cy="274955"/>
                              </a:xfrm>
                              <a:prstGeom prst="rect">
                                <a:avLst/>
                              </a:prstGeom>
                              <a:solidFill>
                                <a:srgbClr val="FFFFFF"/>
                              </a:solidFill>
                              <a:ln w="9525">
                                <a:solidFill>
                                  <a:srgbClr val="000000"/>
                                </a:solidFill>
                                <a:miter lim="200000"/>
                              </a:ln>
                            </wps:spPr>
                            <wps:txbx>
                              <w:txbxContent>
                                <w:p>
                                  <w:pPr>
                                    <w:jc w:val="center"/>
                                    <w:rPr>
                                      <w:sz w:val="18"/>
                                      <w:szCs w:val="18"/>
                                    </w:rPr>
                                  </w:pPr>
                                  <w:r>
                                    <w:rPr>
                                      <w:rFonts w:hint="eastAsia"/>
                                      <w:sz w:val="18"/>
                                      <w:szCs w:val="18"/>
                                    </w:rPr>
                                    <w:t>盐田污水处理厂</w:t>
                                  </w:r>
                                </w:p>
                              </w:txbxContent>
                            </wps:txbx>
                            <wps:bodyPr rot="0" vert="horz" wrap="square" lIns="91440" tIns="45720" rIns="91440" bIns="45720" anchor="t" anchorCtr="0" upright="1">
                              <a:noAutofit/>
                            </wps:bodyPr>
                          </wps:wsp>
                        </a:graphicData>
                      </a:graphic>
                    </wp:anchor>
                  </w:drawing>
                </mc:Choice>
                <mc:Fallback>
                  <w:pict>
                    <v:shape id="Quad Arrow 133" o:spid="_x0000_s1026" o:spt="202" type="#_x0000_t202" style="position:absolute;left:0pt;margin-left:292.75pt;margin-top:3pt;height:21.65pt;width:82.4pt;z-index:251978752;mso-width-relative:page;mso-height-relative:page;" fillcolor="#FFFFFF" filled="t" stroked="t" coordsize="21600,21600" o:gfxdata="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F/al2QAAAAgBAAAP&#10;AAAAAAAAAAEAIAAAACIAAABkcnMvZG93bnJldi54bWxQSwECFAAUAAAACACHTuJAf2cizxcCAAA+&#10;BAAADgAAAAAAAAABACAAAAAoAQAAZHJzL2Uyb0RvYy54bWxQSwUGAAAAAAYABgBZAQAAsQUAAAAA&#10;">
                      <v:fill on="t" focussize="0,0"/>
                      <v:stroke color="#000000" miterlimit="2" joinstyle="miter"/>
                      <v:imagedata o:title=""/>
                      <o:lock v:ext="edit" aspectratio="f"/>
                      <v:textbox>
                        <w:txbxContent>
                          <w:p>
                            <w:pPr>
                              <w:jc w:val="center"/>
                              <w:rPr>
                                <w:sz w:val="18"/>
                                <w:szCs w:val="18"/>
                              </w:rPr>
                            </w:pPr>
                            <w:r>
                              <w:rPr>
                                <w:rFonts w:hint="eastAsia"/>
                                <w:sz w:val="18"/>
                                <w:szCs w:val="18"/>
                              </w:rPr>
                              <w:t>盐田污水处理厂</w:t>
                            </w:r>
                          </w:p>
                        </w:txbxContent>
                      </v:textbox>
                    </v:shape>
                  </w:pict>
                </mc:Fallback>
              </mc:AlternateContent>
            </w:r>
            <w:r>
              <w:rPr>
                <w:b/>
                <w:sz w:val="28"/>
                <w:szCs w:val="28"/>
              </w:rPr>
              <mc:AlternateContent>
                <mc:Choice Requires="wps">
                  <w:drawing>
                    <wp:anchor distT="0" distB="0" distL="114300" distR="114300" simplePos="0" relativeHeight="251985920" behindDoc="0" locked="0" layoutInCell="1" allowOverlap="1">
                      <wp:simplePos x="0" y="0"/>
                      <wp:positionH relativeFrom="column">
                        <wp:posOffset>3433445</wp:posOffset>
                      </wp:positionH>
                      <wp:positionV relativeFrom="paragraph">
                        <wp:posOffset>169545</wp:posOffset>
                      </wp:positionV>
                      <wp:extent cx="284480" cy="0"/>
                      <wp:effectExtent l="12065" t="59690" r="17780" b="54610"/>
                      <wp:wrapNone/>
                      <wp:docPr id="99" name="AutoShape 1165"/>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tailEnd type="triangle" w="med" len="med"/>
                              </a:ln>
                            </wps:spPr>
                            <wps:bodyPr/>
                          </wps:wsp>
                        </a:graphicData>
                      </a:graphic>
                    </wp:anchor>
                  </w:drawing>
                </mc:Choice>
                <mc:Fallback>
                  <w:pict>
                    <v:shape id="AutoShape 1165" o:spid="_x0000_s1026" o:spt="32" type="#_x0000_t32" style="position:absolute;left:0pt;margin-left:270.35pt;margin-top:13.35pt;height:0pt;width:22.4pt;z-index:251985920;mso-width-relative:page;mso-height-relative:page;" filled="f" stroked="t" coordsize="21600,21600" o:gfxdata="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Mf/ctkAAAAJAQAADwAAAAAAAAAB&#10;ACAAAAAiAAAAZHJzL2Rvd25yZXYueG1sUEsBAhQAFAAAAAgAh07iQKwfTvvWAQAAlQMAAA4AAAAA&#10;AAAAAQAgAAAAKAEAAGRycy9lMm9Eb2MueG1sUEsFBgAAAAAGAAYAWQEAAHAFAAAAAA==&#10;">
                      <v:fill on="f" focussize="0,0"/>
                      <v:stroke color="#000000" joinstyle="round" endarrow="block"/>
                      <v:imagedata o:title=""/>
                      <o:lock v:ext="edit" aspectratio="f"/>
                    </v:shape>
                  </w:pict>
                </mc:Fallback>
              </mc:AlternateContent>
            </w:r>
            <w:r>
              <w:rPr>
                <w:b/>
                <w:sz w:val="28"/>
                <w:szCs w:val="28"/>
              </w:rPr>
              <mc:AlternateContent>
                <mc:Choice Requires="wps">
                  <w:drawing>
                    <wp:anchor distT="0" distB="0" distL="114300" distR="114300" simplePos="0" relativeHeight="251984896" behindDoc="0" locked="0" layoutInCell="1" allowOverlap="1">
                      <wp:simplePos x="0" y="0"/>
                      <wp:positionH relativeFrom="column">
                        <wp:posOffset>2701925</wp:posOffset>
                      </wp:positionH>
                      <wp:positionV relativeFrom="paragraph">
                        <wp:posOffset>40640</wp:posOffset>
                      </wp:positionV>
                      <wp:extent cx="731520" cy="273050"/>
                      <wp:effectExtent l="13970" t="6985" r="6985" b="5715"/>
                      <wp:wrapNone/>
                      <wp:docPr id="98" name="Text Box 1164"/>
                      <wp:cNvGraphicFramePr/>
                      <a:graphic xmlns:a="http://schemas.openxmlformats.org/drawingml/2006/main">
                        <a:graphicData uri="http://schemas.microsoft.com/office/word/2010/wordprocessingShape">
                          <wps:wsp>
                            <wps:cNvSpPr txBox="1">
                              <a:spLocks noChangeArrowheads="1"/>
                            </wps:cNvSpPr>
                            <wps:spPr bwMode="auto">
                              <a:xfrm>
                                <a:off x="0" y="0"/>
                                <a:ext cx="731520" cy="273050"/>
                              </a:xfrm>
                              <a:prstGeom prst="rect">
                                <a:avLst/>
                              </a:prstGeom>
                              <a:solidFill>
                                <a:srgbClr val="FFFFFF"/>
                              </a:solidFill>
                              <a:ln w="9525">
                                <a:solidFill>
                                  <a:srgbClr val="000000"/>
                                </a:solidFill>
                                <a:miter lim="200000"/>
                              </a:ln>
                            </wps:spPr>
                            <wps:txbx>
                              <w:txbxContent>
                                <w:p>
                                  <w:pPr>
                                    <w:jc w:val="center"/>
                                    <w:rPr>
                                      <w:sz w:val="18"/>
                                      <w:szCs w:val="18"/>
                                    </w:rPr>
                                  </w:pPr>
                                  <w:r>
                                    <w:rPr>
                                      <w:rFonts w:hint="eastAsia"/>
                                      <w:sz w:val="18"/>
                                      <w:szCs w:val="18"/>
                                    </w:rPr>
                                    <w:t>市政管网</w:t>
                                  </w:r>
                                </w:p>
                              </w:txbxContent>
                            </wps:txbx>
                            <wps:bodyPr rot="0" vert="horz" wrap="square" lIns="91440" tIns="45720" rIns="91440" bIns="45720" anchor="t" anchorCtr="0" upright="1">
                              <a:noAutofit/>
                            </wps:bodyPr>
                          </wps:wsp>
                        </a:graphicData>
                      </a:graphic>
                    </wp:anchor>
                  </w:drawing>
                </mc:Choice>
                <mc:Fallback>
                  <w:pict>
                    <v:shape id="Text Box 1164" o:spid="_x0000_s1026" o:spt="202" type="#_x0000_t202" style="position:absolute;left:0pt;margin-left:212.75pt;margin-top:3.2pt;height:21.5pt;width:57.6pt;z-index:251984896;mso-width-relative:page;mso-height-relative:page;" fillcolor="#FFFFFF" filled="t" stroked="t" coordsize="21600,21600" o:gfxdata="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LG1S2AAAAAgBAAAPAAAA&#10;AAAAAAEAIAAAACIAAABkcnMvZG93bnJldi54bWxQSwECFAAUAAAACACHTuJANy4fexUCAAA7BAAA&#10;DgAAAAAAAAABACAAAAAnAQAAZHJzL2Uyb0RvYy54bWxQSwUGAAAAAAYABgBZAQAArgUAAAAA&#10;">
                      <v:fill on="t" focussize="0,0"/>
                      <v:stroke color="#000000" miterlimit="2" joinstyle="miter"/>
                      <v:imagedata o:title=""/>
                      <o:lock v:ext="edit" aspectratio="f"/>
                      <v:textbox>
                        <w:txbxContent>
                          <w:p>
                            <w:pPr>
                              <w:jc w:val="center"/>
                              <w:rPr>
                                <w:sz w:val="18"/>
                                <w:szCs w:val="18"/>
                              </w:rPr>
                            </w:pPr>
                            <w:r>
                              <w:rPr>
                                <w:rFonts w:hint="eastAsia"/>
                                <w:sz w:val="18"/>
                                <w:szCs w:val="18"/>
                              </w:rPr>
                              <w:t>市政管网</w:t>
                            </w:r>
                          </w:p>
                        </w:txbxContent>
                      </v:textbox>
                    </v:shape>
                  </w:pict>
                </mc:Fallback>
              </mc:AlternateContent>
            </w:r>
            <w:r>
              <w:rPr>
                <w:b/>
                <w:sz w:val="28"/>
                <w:szCs w:val="28"/>
              </w:rPr>
              <mc:AlternateContent>
                <mc:Choice Requires="wps">
                  <w:drawing>
                    <wp:anchor distT="0" distB="0" distL="114300" distR="114300" simplePos="0" relativeHeight="251981824" behindDoc="0" locked="0" layoutInCell="1" allowOverlap="1">
                      <wp:simplePos x="0" y="0"/>
                      <wp:positionH relativeFrom="column">
                        <wp:posOffset>223520</wp:posOffset>
                      </wp:positionH>
                      <wp:positionV relativeFrom="paragraph">
                        <wp:posOffset>17780</wp:posOffset>
                      </wp:positionV>
                      <wp:extent cx="914400" cy="296545"/>
                      <wp:effectExtent l="12065" t="12700" r="6985" b="5080"/>
                      <wp:wrapNone/>
                      <wp:docPr id="97" name="Quad Arrow 270"/>
                      <wp:cNvGraphicFramePr/>
                      <a:graphic xmlns:a="http://schemas.openxmlformats.org/drawingml/2006/main">
                        <a:graphicData uri="http://schemas.microsoft.com/office/word/2010/wordprocessingShape">
                          <wps:wsp>
                            <wps:cNvSpPr txBox="1">
                              <a:spLocks noChangeArrowheads="1"/>
                            </wps:cNvSpPr>
                            <wps:spPr bwMode="auto">
                              <a:xfrm>
                                <a:off x="0" y="0"/>
                                <a:ext cx="914400" cy="296545"/>
                              </a:xfrm>
                              <a:prstGeom prst="rect">
                                <a:avLst/>
                              </a:prstGeom>
                              <a:solidFill>
                                <a:srgbClr val="FFFFFF"/>
                              </a:solidFill>
                              <a:ln w="9525">
                                <a:solidFill>
                                  <a:srgbClr val="000000"/>
                                </a:solidFill>
                                <a:miter lim="200000"/>
                              </a:ln>
                            </wps:spPr>
                            <wps:txbx>
                              <w:txbxContent>
                                <w:p>
                                  <w:pPr>
                                    <w:jc w:val="center"/>
                                    <w:rPr>
                                      <w:sz w:val="18"/>
                                      <w:szCs w:val="18"/>
                                    </w:rPr>
                                  </w:pPr>
                                  <w:r>
                                    <w:rPr>
                                      <w:rFonts w:hint="eastAsia"/>
                                      <w:sz w:val="18"/>
                                      <w:szCs w:val="18"/>
                                    </w:rPr>
                                    <w:t>生活污水</w:t>
                                  </w:r>
                                </w:p>
                              </w:txbxContent>
                            </wps:txbx>
                            <wps:bodyPr rot="0" vert="horz" wrap="square" lIns="91440" tIns="45720" rIns="91440" bIns="45720" anchor="t" anchorCtr="0" upright="1">
                              <a:noAutofit/>
                            </wps:bodyPr>
                          </wps:wsp>
                        </a:graphicData>
                      </a:graphic>
                    </wp:anchor>
                  </w:drawing>
                </mc:Choice>
                <mc:Fallback>
                  <w:pict>
                    <v:shape id="Quad Arrow 270" o:spid="_x0000_s1026" o:spt="202" type="#_x0000_t202" style="position:absolute;left:0pt;margin-left:17.6pt;margin-top:1.4pt;height:23.35pt;width:72pt;z-index:251981824;mso-width-relative:page;mso-height-relative:page;" fillcolor="#FFFFFF" filled="t" stroked="t" coordsize="21600,21600" o:gfxdata="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yeLN1wAAAAcBAAAPAAAA&#10;AAAAAAEAIAAAACIAAABkcnMvZG93bnJldi54bWxQSwECFAAUAAAACACHTuJAShjbKRYCAAA8BAAA&#10;DgAAAAAAAAABACAAAAAmAQAAZHJzL2Uyb0RvYy54bWxQSwUGAAAAAAYABgBZAQAArgUAAAAA&#10;">
                      <v:fill on="t" focussize="0,0"/>
                      <v:stroke color="#000000" miterlimit="2" joinstyle="miter"/>
                      <v:imagedata o:title=""/>
                      <o:lock v:ext="edit" aspectratio="f"/>
                      <v:textbox>
                        <w:txbxContent>
                          <w:p>
                            <w:pPr>
                              <w:jc w:val="center"/>
                              <w:rPr>
                                <w:sz w:val="18"/>
                                <w:szCs w:val="18"/>
                              </w:rPr>
                            </w:pPr>
                            <w:r>
                              <w:rPr>
                                <w:rFonts w:hint="eastAsia"/>
                                <w:sz w:val="18"/>
                                <w:szCs w:val="18"/>
                              </w:rPr>
                              <w:t>生活污水</w:t>
                            </w:r>
                          </w:p>
                        </w:txbxContent>
                      </v:textbox>
                    </v:shape>
                  </w:pict>
                </mc:Fallback>
              </mc:AlternateContent>
            </w:r>
          </w:p>
          <w:p>
            <w:pPr>
              <w:autoSpaceDE w:val="0"/>
              <w:autoSpaceDN w:val="0"/>
              <w:adjustRightInd w:val="0"/>
              <w:spacing w:line="360" w:lineRule="auto"/>
              <w:jc w:val="center"/>
              <w:rPr>
                <w:b/>
                <w:kern w:val="0"/>
                <w:sz w:val="24"/>
              </w:rPr>
            </w:pPr>
            <w:r>
              <w:rPr>
                <w:rFonts w:hint="eastAsia"/>
                <w:b/>
                <w:szCs w:val="21"/>
              </w:rPr>
              <w:t>生活废水排放</w:t>
            </w:r>
            <w:r>
              <w:rPr>
                <w:b/>
                <w:szCs w:val="21"/>
              </w:rPr>
              <w:t>流程</w:t>
            </w:r>
          </w:p>
          <w:p>
            <w:pPr>
              <w:autoSpaceDE w:val="0"/>
              <w:autoSpaceDN w:val="0"/>
              <w:adjustRightInd w:val="0"/>
              <w:spacing w:line="360" w:lineRule="auto"/>
              <w:jc w:val="left"/>
              <w:rPr>
                <w:b/>
                <w:kern w:val="0"/>
                <w:sz w:val="24"/>
              </w:rPr>
            </w:pPr>
            <w:r>
              <w:rPr>
                <w:b/>
                <w:kern w:val="0"/>
                <w:sz w:val="24"/>
              </w:rPr>
              <w:t>2、废气：</w:t>
            </w:r>
          </w:p>
          <w:p>
            <w:pPr>
              <w:spacing w:line="360" w:lineRule="auto"/>
              <w:ind w:firstLine="480" w:firstLineChars="200"/>
              <w:rPr>
                <w:sz w:val="24"/>
              </w:rPr>
            </w:pPr>
            <w:r>
              <w:rPr>
                <w:rFonts w:hint="eastAsia"/>
                <w:kern w:val="0"/>
                <w:sz w:val="24"/>
              </w:rPr>
              <w:t>项目产生</w:t>
            </w:r>
            <w:r>
              <w:rPr>
                <w:rFonts w:hint="eastAsia" w:hAnsi="宋体"/>
                <w:bCs/>
                <w:color w:val="000000"/>
                <w:sz w:val="24"/>
              </w:rPr>
              <w:t>粘合和胶装</w:t>
            </w:r>
            <w:r>
              <w:rPr>
                <w:rFonts w:hint="eastAsia"/>
                <w:kern w:val="0"/>
                <w:sz w:val="24"/>
              </w:rPr>
              <w:t>废气</w:t>
            </w:r>
            <w:r>
              <w:rPr>
                <w:rFonts w:hint="eastAsia"/>
                <w:sz w:val="24"/>
              </w:rPr>
              <w:t>都经过</w:t>
            </w:r>
            <w:r>
              <w:rPr>
                <w:rFonts w:hint="eastAsia"/>
                <w:kern w:val="0"/>
                <w:sz w:val="24"/>
              </w:rPr>
              <w:t>废气处理装置处理后引到顶楼高空排放</w:t>
            </w:r>
            <w:r>
              <w:rPr>
                <w:rFonts w:hint="eastAsia"/>
                <w:sz w:val="24"/>
              </w:rPr>
              <w:t>，主要设备见下表：</w:t>
            </w:r>
          </w:p>
          <w:p>
            <w:pPr>
              <w:autoSpaceDE w:val="0"/>
              <w:autoSpaceDN w:val="0"/>
              <w:spacing w:line="360" w:lineRule="auto"/>
              <w:jc w:val="left"/>
              <w:rPr>
                <w:b/>
                <w:color w:val="000000"/>
                <w:kern w:val="0"/>
                <w:sz w:val="28"/>
                <w:szCs w:val="28"/>
              </w:rPr>
            </w:pPr>
            <w:r>
              <w:rPr>
                <w:b/>
                <w:kern w:val="0"/>
                <w:sz w:val="24"/>
                <w:szCs w:val="22"/>
              </w:rPr>
              <mc:AlternateContent>
                <mc:Choice Requires="wps">
                  <w:drawing>
                    <wp:anchor distT="0" distB="0" distL="114300" distR="114300" simplePos="0" relativeHeight="252071936" behindDoc="0" locked="0" layoutInCell="1" allowOverlap="1">
                      <wp:simplePos x="0" y="0"/>
                      <wp:positionH relativeFrom="column">
                        <wp:posOffset>2878455</wp:posOffset>
                      </wp:positionH>
                      <wp:positionV relativeFrom="paragraph">
                        <wp:posOffset>127635</wp:posOffset>
                      </wp:positionV>
                      <wp:extent cx="1626235" cy="287020"/>
                      <wp:effectExtent l="0" t="0" r="12065" b="1778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1626235" cy="287020"/>
                              </a:xfrm>
                              <a:prstGeom prst="rect">
                                <a:avLst/>
                              </a:prstGeom>
                              <a:solidFill>
                                <a:srgbClr val="FFFFFF"/>
                              </a:solidFill>
                              <a:ln w="9525">
                                <a:solidFill>
                                  <a:srgbClr val="000000"/>
                                </a:solidFill>
                                <a:miter lim="200000"/>
                              </a:ln>
                            </wps:spPr>
                            <wps:txbx>
                              <w:txbxContent>
                                <w:p>
                                  <w:pPr>
                                    <w:jc w:val="center"/>
                                    <w:rPr>
                                      <w:szCs w:val="21"/>
                                    </w:rPr>
                                  </w:pPr>
                                  <w:r>
                                    <w:rPr>
                                      <w:rFonts w:hint="eastAsia"/>
                                      <w:szCs w:val="21"/>
                                    </w:rPr>
                                    <w:t>活性炭吸附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6.65pt;margin-top:10.05pt;height:22.6pt;width:128.05pt;z-index:252071936;mso-width-relative:page;mso-height-relative:page;" fillcolor="#FFFFFF" filled="t" stroked="t" coordsize="21600,21600" o:gfxdata="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W+SZ2gAAAAkBAAAPAAAAAAAAAAEAIAAAACIAAABkcnMvZG93bnJldi54bWxQSwECFAAUAAAA&#10;CACHTuJAFopLPyUCAAA7BAAADgAAAAAAAAABACAAAAApAQAAZHJzL2Uyb0RvYy54bWxQSwUGAAAA&#10;AAYABgBZAQAAwAUAAAAA&#10;">
                      <v:fill on="t" focussize="0,0"/>
                      <v:stroke color="#000000" miterlimit="2" joinstyle="miter"/>
                      <v:imagedata o:title=""/>
                      <o:lock v:ext="edit" aspectratio="f"/>
                      <v:textbox>
                        <w:txbxContent>
                          <w:p>
                            <w:pPr>
                              <w:jc w:val="center"/>
                              <w:rPr>
                                <w:szCs w:val="21"/>
                              </w:rPr>
                            </w:pPr>
                            <w:r>
                              <w:rPr>
                                <w:rFonts w:hint="eastAsia"/>
                                <w:szCs w:val="21"/>
                              </w:rPr>
                              <w:t>活性炭吸附</w:t>
                            </w:r>
                          </w:p>
                        </w:txbxContent>
                      </v:textbox>
                    </v:shape>
                  </w:pict>
                </mc:Fallback>
              </mc:AlternateContent>
            </w:r>
            <w:r>
              <w:rPr>
                <w:kern w:val="0"/>
                <w:sz w:val="22"/>
                <w:szCs w:val="22"/>
              </w:rPr>
              <mc:AlternateContent>
                <mc:Choice Requires="wps">
                  <w:drawing>
                    <wp:anchor distT="0" distB="0" distL="114300" distR="114300" simplePos="0" relativeHeight="252070912" behindDoc="0" locked="0" layoutInCell="1" allowOverlap="1">
                      <wp:simplePos x="0" y="0"/>
                      <wp:positionH relativeFrom="column">
                        <wp:posOffset>2658745</wp:posOffset>
                      </wp:positionH>
                      <wp:positionV relativeFrom="paragraph">
                        <wp:posOffset>270510</wp:posOffset>
                      </wp:positionV>
                      <wp:extent cx="219710" cy="0"/>
                      <wp:effectExtent l="0" t="76200" r="27940" b="95250"/>
                      <wp:wrapNone/>
                      <wp:docPr id="19" name="直接箭头连接符 19"/>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9.35pt;margin-top:21.3pt;height:0pt;width:17.3pt;z-index:252070912;mso-width-relative:page;mso-height-relative:page;" filled="f" stroked="t" coordsize="21600,21600" o:gfxdata="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A9M2QAAAAkBAAAPAAAAAAAAAAEAIAAAACIAAABkcnMvZG93bnJldi54bWxQSwEC&#10;FAAUAAAACACHTuJAQtcfbfMBAACfAwAADgAAAAAAAAABACAAAAAoAQAAZHJzL2Uyb0RvYy54bWxQ&#10;SwUGAAAAAAYABgBZAQAAjQUAAAAA&#10;">
                      <v:fill on="f" focussize="0,0"/>
                      <v:stroke color="#000000" joinstyle="round" endarrow="block"/>
                      <v:imagedata o:title=""/>
                      <o:lock v:ext="edit" aspectratio="f"/>
                    </v:shape>
                  </w:pict>
                </mc:Fallback>
              </mc:AlternateContent>
            </w:r>
            <w:r>
              <w:rPr>
                <w:kern w:val="0"/>
                <w:sz w:val="22"/>
                <w:szCs w:val="22"/>
              </w:rPr>
              <mc:AlternateContent>
                <mc:Choice Requires="wps">
                  <w:drawing>
                    <wp:anchor distT="0" distB="0" distL="114300" distR="114300" simplePos="0" relativeHeight="252069888" behindDoc="0" locked="0" layoutInCell="1" allowOverlap="1">
                      <wp:simplePos x="0" y="0"/>
                      <wp:positionH relativeFrom="column">
                        <wp:posOffset>1641475</wp:posOffset>
                      </wp:positionH>
                      <wp:positionV relativeFrom="paragraph">
                        <wp:posOffset>127635</wp:posOffset>
                      </wp:positionV>
                      <wp:extent cx="1009015" cy="287020"/>
                      <wp:effectExtent l="0" t="0" r="19685" b="1778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009015" cy="287020"/>
                              </a:xfrm>
                              <a:prstGeom prst="rect">
                                <a:avLst/>
                              </a:prstGeom>
                              <a:solidFill>
                                <a:srgbClr val="FFFFFF"/>
                              </a:solidFill>
                              <a:ln w="9525">
                                <a:solidFill>
                                  <a:srgbClr val="000000"/>
                                </a:solidFill>
                                <a:miter lim="200000"/>
                              </a:ln>
                            </wps:spPr>
                            <wps:txbx>
                              <w:txbxContent>
                                <w:p>
                                  <w:pPr>
                                    <w:jc w:val="center"/>
                                    <w:rPr>
                                      <w:szCs w:val="21"/>
                                    </w:rPr>
                                  </w:pPr>
                                  <w:r>
                                    <w:rPr>
                                      <w:rFonts w:hint="eastAsia"/>
                                      <w:szCs w:val="21"/>
                                    </w:rPr>
                                    <w:t>集气罩收集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9.25pt;margin-top:10.05pt;height:22.6pt;width:79.45pt;z-index:252069888;mso-width-relative:page;mso-height-relative:page;" fillcolor="#FFFFFF" filled="t" stroked="t" coordsize="21600,21600" o:gfxdata="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nC68XaAAAACQEAAA8AAAAAAAAAAQAgAAAAIgAAAGRycy9kb3ducmV2LnhtbFBLAQIUABQAAAAI&#10;AIdO4kB0h+IMJAIAADsEAAAOAAAAAAAAAAEAIAAAACkBAABkcnMvZTJvRG9jLnhtbFBLBQYAAAAA&#10;BgAGAFkBAAC/BQAAAAA=&#10;">
                      <v:fill on="t" focussize="0,0"/>
                      <v:stroke color="#000000" miterlimit="2" joinstyle="miter"/>
                      <v:imagedata o:title=""/>
                      <o:lock v:ext="edit" aspectratio="f"/>
                      <v:textbox>
                        <w:txbxContent>
                          <w:p>
                            <w:pPr>
                              <w:jc w:val="center"/>
                              <w:rPr>
                                <w:szCs w:val="21"/>
                              </w:rPr>
                            </w:pPr>
                            <w:r>
                              <w:rPr>
                                <w:rFonts w:hint="eastAsia"/>
                                <w:szCs w:val="21"/>
                              </w:rPr>
                              <w:t>集气罩收集</w:t>
                            </w:r>
                          </w:p>
                        </w:txbxContent>
                      </v:textbox>
                    </v:shape>
                  </w:pict>
                </mc:Fallback>
              </mc:AlternateContent>
            </w:r>
            <w:r>
              <w:rPr>
                <w:kern w:val="0"/>
                <w:sz w:val="22"/>
                <w:szCs w:val="22"/>
              </w:rPr>
              <mc:AlternateContent>
                <mc:Choice Requires="wps">
                  <w:drawing>
                    <wp:anchor distT="0" distB="0" distL="114300" distR="114300" simplePos="0" relativeHeight="252066816" behindDoc="0" locked="0" layoutInCell="1" allowOverlap="1">
                      <wp:simplePos x="0" y="0"/>
                      <wp:positionH relativeFrom="column">
                        <wp:posOffset>223520</wp:posOffset>
                      </wp:positionH>
                      <wp:positionV relativeFrom="paragraph">
                        <wp:posOffset>127635</wp:posOffset>
                      </wp:positionV>
                      <wp:extent cx="1188085" cy="287020"/>
                      <wp:effectExtent l="0" t="0" r="12065" b="1778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188085" cy="287020"/>
                              </a:xfrm>
                              <a:prstGeom prst="rect">
                                <a:avLst/>
                              </a:prstGeom>
                              <a:solidFill>
                                <a:srgbClr val="FFFFFF"/>
                              </a:solidFill>
                              <a:ln w="9525">
                                <a:solidFill>
                                  <a:srgbClr val="000000"/>
                                </a:solidFill>
                                <a:miter lim="200000"/>
                              </a:ln>
                            </wps:spPr>
                            <wps:txbx>
                              <w:txbxContent>
                                <w:p>
                                  <w:pPr>
                                    <w:jc w:val="center"/>
                                    <w:rPr>
                                      <w:szCs w:val="21"/>
                                    </w:rPr>
                                  </w:pPr>
                                  <w:r>
                                    <w:rPr>
                                      <w:rFonts w:hint="eastAsia"/>
                                      <w:szCs w:val="21"/>
                                    </w:rPr>
                                    <w:t>胶水工序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6pt;margin-top:10.05pt;height:22.6pt;width:93.55pt;z-index:252066816;mso-width-relative:page;mso-height-relative:page;" fillcolor="#FFFFFF" filled="t" stroked="t" coordsize="21600,21600" o:gfxdata="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10;NU4C2AAAAAgBAAAPAAAAAAAAAAEAIAAAACIAAABkcnMvZG93bnJldi54bWxQSwECFAAUAAAACACH&#10;TuJAQU7QEyQCAAA7BAAADgAAAAAAAAABACAAAAAnAQAAZHJzL2Uyb0RvYy54bWxQSwUGAAAAAAYA&#10;BgBZAQAAvQUAAAAA&#10;">
                      <v:fill on="t" focussize="0,0"/>
                      <v:stroke color="#000000" miterlimit="2" joinstyle="miter"/>
                      <v:imagedata o:title=""/>
                      <o:lock v:ext="edit" aspectratio="f"/>
                      <v:textbox>
                        <w:txbxContent>
                          <w:p>
                            <w:pPr>
                              <w:jc w:val="center"/>
                              <w:rPr>
                                <w:szCs w:val="21"/>
                              </w:rPr>
                            </w:pPr>
                            <w:r>
                              <w:rPr>
                                <w:rFonts w:hint="eastAsia"/>
                                <w:szCs w:val="21"/>
                              </w:rPr>
                              <w:t>胶水工序</w:t>
                            </w:r>
                          </w:p>
                        </w:txbxContent>
                      </v:textbox>
                    </v:shape>
                  </w:pict>
                </mc:Fallback>
              </mc:AlternateContent>
            </w:r>
            <w:r>
              <w:rPr>
                <w:kern w:val="0"/>
                <w:sz w:val="22"/>
                <w:szCs w:val="22"/>
              </w:rPr>
              <mc:AlternateContent>
                <mc:Choice Requires="wps">
                  <w:drawing>
                    <wp:anchor distT="0" distB="0" distL="114300" distR="114300" simplePos="0" relativeHeight="252068864" behindDoc="0" locked="0" layoutInCell="1" allowOverlap="1">
                      <wp:simplePos x="0" y="0"/>
                      <wp:positionH relativeFrom="column">
                        <wp:posOffset>4826635</wp:posOffset>
                      </wp:positionH>
                      <wp:positionV relativeFrom="paragraph">
                        <wp:posOffset>127635</wp:posOffset>
                      </wp:positionV>
                      <wp:extent cx="714375" cy="287020"/>
                      <wp:effectExtent l="0" t="0" r="28575" b="1778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714375" cy="287020"/>
                              </a:xfrm>
                              <a:prstGeom prst="rect">
                                <a:avLst/>
                              </a:prstGeom>
                              <a:solidFill>
                                <a:srgbClr val="FFFFFF"/>
                              </a:solidFill>
                              <a:ln w="9525">
                                <a:solidFill>
                                  <a:srgbClr val="000000"/>
                                </a:solidFill>
                                <a:miter lim="200000"/>
                              </a:ln>
                            </wps:spPr>
                            <wps:txbx>
                              <w:txbxContent>
                                <w:p>
                                  <w:pPr>
                                    <w:jc w:val="center"/>
                                    <w:rPr>
                                      <w:szCs w:val="21"/>
                                    </w:rPr>
                                  </w:pPr>
                                  <w:r>
                                    <w:rPr>
                                      <w:rFonts w:hint="eastAsia"/>
                                      <w:szCs w:val="21"/>
                                    </w:rPr>
                                    <w:t>排放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80.05pt;margin-top:10.05pt;height:22.6pt;width:56.25pt;z-index:252068864;mso-width-relative:page;mso-height-relative:page;" fillcolor="#FFFFFF" filled="t" stroked="t" coordsize="21600,21600" o:gfxdata="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gg/Vk2gAAAAkBAAAPAAAAAAAAAAEAIAAAACIAAABkcnMvZG93bnJldi54bWxQSwECFAAUAAAA&#10;CACHTuJAXgdukyUCAAA6BAAADgAAAAAAAAABACAAAAApAQAAZHJzL2Uyb0RvYy54bWxQSwUGAAAA&#10;AAYABgBZAQAAwAUAAAAA&#10;">
                      <v:fill on="t" focussize="0,0"/>
                      <v:stroke color="#000000" miterlimit="2" joinstyle="miter"/>
                      <v:imagedata o:title=""/>
                      <o:lock v:ext="edit" aspectratio="f"/>
                      <v:textbox>
                        <w:txbxContent>
                          <w:p>
                            <w:pPr>
                              <w:jc w:val="center"/>
                              <w:rPr>
                                <w:szCs w:val="21"/>
                              </w:rPr>
                            </w:pPr>
                            <w:r>
                              <w:rPr>
                                <w:rFonts w:hint="eastAsia"/>
                                <w:szCs w:val="21"/>
                              </w:rPr>
                              <w:t>排放</w:t>
                            </w:r>
                          </w:p>
                        </w:txbxContent>
                      </v:textbox>
                    </v:shape>
                  </w:pict>
                </mc:Fallback>
              </mc:AlternateContent>
            </w:r>
            <w:r>
              <w:rPr>
                <w:b/>
                <w:kern w:val="0"/>
                <w:sz w:val="24"/>
                <w:szCs w:val="22"/>
              </w:rPr>
              <mc:AlternateContent>
                <mc:Choice Requires="wps">
                  <w:drawing>
                    <wp:anchor distT="0" distB="0" distL="114300" distR="114300" simplePos="0" relativeHeight="252072960" behindDoc="0" locked="0" layoutInCell="1" allowOverlap="1">
                      <wp:simplePos x="0" y="0"/>
                      <wp:positionH relativeFrom="column">
                        <wp:posOffset>4504690</wp:posOffset>
                      </wp:positionH>
                      <wp:positionV relativeFrom="paragraph">
                        <wp:posOffset>80645</wp:posOffset>
                      </wp:positionV>
                      <wp:extent cx="321945" cy="248285"/>
                      <wp:effectExtent l="0" t="4445" r="2540" b="4445"/>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321945" cy="248285"/>
                              </a:xfrm>
                              <a:prstGeom prst="rect">
                                <a:avLst/>
                              </a:prstGeom>
                              <a:noFill/>
                              <a:ln>
                                <a:noFill/>
                              </a:ln>
                            </wps:spPr>
                            <wps:txbx>
                              <w:txbxContent>
                                <w:p>
                                  <w:pPr>
                                    <w:rPr>
                                      <w:sz w:val="18"/>
                                      <w:szCs w:val="18"/>
                                    </w:rPr>
                                  </w:pPr>
                                  <w:r>
                                    <w:rPr>
                                      <w:rFonts w:hint="eastAsia"/>
                                      <w:sz w:val="18"/>
                                      <w:szCs w:val="18"/>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4.7pt;margin-top:6.35pt;height:19.55pt;width:25.35pt;z-index:252072960;mso-width-relative:page;mso-height-relative:page;" filled="f" stroked="f" coordsize="21600,21600" o:gfxdata="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wZS0tcAAAAJAQAADwAAAAAAAAABACAAAAAiAAAAZHJzL2Rvd25yZXYu&#10;eG1sUEsBAhQAFAAAAAgAh07iQCchcSz8AQAAyAMAAA4AAAAAAAAAAQAgAAAAJgEAAGRycy9lMm9E&#10;b2MueG1sUEsFBgAAAAAGAAYAWQEAAJQFAAAAAA==&#10;">
                      <v:fill on="f" focussize="0,0"/>
                      <v:stroke on="f"/>
                      <v:imagedata o:title=""/>
                      <o:lock v:ext="edit" aspectratio="f"/>
                      <v:textbox>
                        <w:txbxContent>
                          <w:p>
                            <w:pPr>
                              <w:rPr>
                                <w:sz w:val="18"/>
                                <w:szCs w:val="18"/>
                              </w:rPr>
                            </w:pPr>
                            <w:r>
                              <w:rPr>
                                <w:rFonts w:hint="eastAsia"/>
                                <w:sz w:val="18"/>
                                <w:szCs w:val="18"/>
                              </w:rPr>
                              <w:t>◎</w:t>
                            </w:r>
                          </w:p>
                        </w:txbxContent>
                      </v:textbox>
                    </v:shape>
                  </w:pict>
                </mc:Fallback>
              </mc:AlternateContent>
            </w:r>
            <w:r>
              <w:rPr>
                <w:b/>
                <w:kern w:val="0"/>
                <w:sz w:val="24"/>
                <w:szCs w:val="22"/>
              </w:rPr>
              <mc:AlternateContent>
                <mc:Choice Requires="wps">
                  <w:drawing>
                    <wp:anchor distT="0" distB="0" distL="114300" distR="114300" simplePos="0" relativeHeight="252073984" behindDoc="0" locked="0" layoutInCell="1" allowOverlap="1">
                      <wp:simplePos x="0" y="0"/>
                      <wp:positionH relativeFrom="column">
                        <wp:posOffset>4567555</wp:posOffset>
                      </wp:positionH>
                      <wp:positionV relativeFrom="paragraph">
                        <wp:posOffset>271145</wp:posOffset>
                      </wp:positionV>
                      <wp:extent cx="219710" cy="635"/>
                      <wp:effectExtent l="5080" t="52070" r="22860" b="61595"/>
                      <wp:wrapNone/>
                      <wp:docPr id="13" name="连接符: 肘形 13"/>
                      <wp:cNvGraphicFramePr/>
                      <a:graphic xmlns:a="http://schemas.openxmlformats.org/drawingml/2006/main">
                        <a:graphicData uri="http://schemas.microsoft.com/office/word/2010/wordprocessingShape">
                          <wps:wsp>
                            <wps:cNvCnPr>
                              <a:cxnSpLocks noChangeShapeType="1"/>
                            </wps:cNvCnPr>
                            <wps:spPr bwMode="auto">
                              <a:xfrm>
                                <a:off x="0" y="0"/>
                                <a:ext cx="219710" cy="635"/>
                              </a:xfrm>
                              <a:prstGeom prst="bentConnector3">
                                <a:avLst>
                                  <a:gd name="adj1" fmla="val 50000"/>
                                </a:avLst>
                              </a:prstGeom>
                              <a:noFill/>
                              <a:ln w="9525">
                                <a:solidFill>
                                  <a:srgbClr val="000000"/>
                                </a:solidFill>
                                <a:miter lim="800000"/>
                                <a:tailEnd type="triangle" w="med" len="med"/>
                              </a:ln>
                            </wps:spPr>
                            <wps:bodyPr/>
                          </wps:wsp>
                        </a:graphicData>
                      </a:graphic>
                    </wp:anchor>
                  </w:drawing>
                </mc:Choice>
                <mc:Fallback>
                  <w:pict>
                    <v:shape id="连接符: 肘形 13" o:spid="_x0000_s1026" o:spt="34" type="#_x0000_t34" style="position:absolute;left:0pt;margin-left:359.65pt;margin-top:21.35pt;height:0.05pt;width:17.3pt;z-index:252073984;mso-width-relative:page;mso-height-relative:page;" filled="f" stroked="t" coordsize="21600,21600" o:gfxdata="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3qI9Z2AAAAAkBAAAPAAAAAAAAAAEAIAAA&#10;ACIAAABkcnMvZG93bnJldi54bWxQSwECFAAUAAAACACHTuJAC+vEzwwCAADTAwAADgAAAAAAAAAB&#10;ACAAAAAnAQAAZHJzL2Uyb0RvYy54bWxQSwUGAAAAAAYABgBZAQAApQUAAAAA&#10;" adj="10800">
                      <v:fill on="f" focussize="0,0"/>
                      <v:stroke color="#000000" miterlimit="8" joinstyle="miter" endarrow="block"/>
                      <v:imagedata o:title=""/>
                      <o:lock v:ext="edit" aspectratio="f"/>
                    </v:shape>
                  </w:pict>
                </mc:Fallback>
              </mc:AlternateContent>
            </w:r>
            <w:r>
              <w:rPr>
                <w:kern w:val="0"/>
                <w:sz w:val="22"/>
                <w:szCs w:val="22"/>
              </w:rPr>
              <mc:AlternateContent>
                <mc:Choice Requires="wps">
                  <w:drawing>
                    <wp:anchor distT="0" distB="0" distL="114300" distR="114300" simplePos="0" relativeHeight="252067840" behindDoc="0" locked="0" layoutInCell="1" allowOverlap="1">
                      <wp:simplePos x="0" y="0"/>
                      <wp:positionH relativeFrom="column">
                        <wp:posOffset>1411605</wp:posOffset>
                      </wp:positionH>
                      <wp:positionV relativeFrom="paragraph">
                        <wp:posOffset>271780</wp:posOffset>
                      </wp:positionV>
                      <wp:extent cx="219710" cy="635"/>
                      <wp:effectExtent l="11430" t="52705" r="16510" b="60960"/>
                      <wp:wrapNone/>
                      <wp:docPr id="12" name="连接符: 肘形 12"/>
                      <wp:cNvGraphicFramePr/>
                      <a:graphic xmlns:a="http://schemas.openxmlformats.org/drawingml/2006/main">
                        <a:graphicData uri="http://schemas.microsoft.com/office/word/2010/wordprocessingShape">
                          <wps:wsp>
                            <wps:cNvCnPr>
                              <a:cxnSpLocks noChangeShapeType="1"/>
                            </wps:cNvCnPr>
                            <wps:spPr bwMode="auto">
                              <a:xfrm>
                                <a:off x="0" y="0"/>
                                <a:ext cx="219710" cy="635"/>
                              </a:xfrm>
                              <a:prstGeom prst="bentConnector3">
                                <a:avLst>
                                  <a:gd name="adj1" fmla="val 50000"/>
                                </a:avLst>
                              </a:prstGeom>
                              <a:noFill/>
                              <a:ln w="9525">
                                <a:solidFill>
                                  <a:srgbClr val="000000"/>
                                </a:solidFill>
                                <a:miter lim="800000"/>
                                <a:tailEnd type="triangle" w="med" len="med"/>
                              </a:ln>
                            </wps:spPr>
                            <wps:bodyPr/>
                          </wps:wsp>
                        </a:graphicData>
                      </a:graphic>
                    </wp:anchor>
                  </w:drawing>
                </mc:Choice>
                <mc:Fallback>
                  <w:pict>
                    <v:shape id="连接符: 肘形 12" o:spid="_x0000_s1026" o:spt="34" type="#_x0000_t34" style="position:absolute;left:0pt;margin-left:111.15pt;margin-top:21.4pt;height:0.05pt;width:17.3pt;z-index:252067840;mso-width-relative:page;mso-height-relative:page;" filled="f" stroked="t" coordsize="21600,21600" o:gfxdata="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f2fc2AAAAAkBAAAPAAAAAAAAAAEAIAAA&#10;ACIAAABkcnMvZG93bnJldi54bWxQSwECFAAUAAAACACHTuJAK0tvWgwCAADTAwAADgAAAAAAAAAB&#10;ACAAAAAnAQAAZHJzL2Uyb0RvYy54bWxQSwUGAAAAAAYABgBZAQAApQUAAAAA&#10;" adj="10800">
                      <v:fill on="f" focussize="0,0"/>
                      <v:stroke color="#000000" miterlimit="8" joinstyle="miter" endarrow="block"/>
                      <v:imagedata o:title=""/>
                      <o:lock v:ext="edit" aspectratio="f"/>
                    </v:shape>
                  </w:pict>
                </mc:Fallback>
              </mc:AlternateContent>
            </w:r>
          </w:p>
          <w:p>
            <w:pPr>
              <w:autoSpaceDE w:val="0"/>
              <w:autoSpaceDN w:val="0"/>
              <w:adjustRightInd w:val="0"/>
              <w:spacing w:line="360" w:lineRule="auto"/>
              <w:jc w:val="center"/>
              <w:rPr>
                <w:b/>
                <w:kern w:val="0"/>
                <w:sz w:val="24"/>
              </w:rPr>
            </w:pPr>
            <w:r>
              <w:rPr>
                <w:rFonts w:hint="eastAsia"/>
                <w:b/>
                <w:szCs w:val="21"/>
              </w:rPr>
              <w:t>胶水工序废气排放</w:t>
            </w:r>
            <w:r>
              <w:rPr>
                <w:b/>
                <w:szCs w:val="21"/>
              </w:rPr>
              <w:t>流程</w:t>
            </w:r>
          </w:p>
          <w:p>
            <w:pPr>
              <w:autoSpaceDE w:val="0"/>
              <w:autoSpaceDN w:val="0"/>
              <w:adjustRightInd w:val="0"/>
              <w:spacing w:line="360" w:lineRule="auto"/>
              <w:jc w:val="left"/>
              <w:rPr>
                <w:b/>
                <w:kern w:val="0"/>
                <w:sz w:val="24"/>
              </w:rPr>
            </w:pPr>
            <w:r>
              <w:rPr>
                <w:b/>
                <w:kern w:val="0"/>
                <w:sz w:val="24"/>
              </w:rPr>
              <w:t>3、噪声：</w:t>
            </w:r>
          </w:p>
          <w:p>
            <w:pPr>
              <w:autoSpaceDE w:val="0"/>
              <w:autoSpaceDN w:val="0"/>
              <w:adjustRightInd w:val="0"/>
              <w:spacing w:line="360" w:lineRule="auto"/>
              <w:ind w:firstLine="480" w:firstLineChars="200"/>
              <w:jc w:val="left"/>
              <w:rPr>
                <w:sz w:val="24"/>
              </w:rPr>
            </w:pPr>
            <w:r>
              <w:rPr>
                <w:rFonts w:hint="eastAsia"/>
                <w:sz w:val="24"/>
              </w:rPr>
              <w:t>该项目的主要噪声设备为车间内的加工设备，无大型机械加工设备。废气处理装置产生一定噪声</w:t>
            </w:r>
            <w:r>
              <w:rPr>
                <w:sz w:val="24"/>
              </w:rPr>
              <w:t>，对</w:t>
            </w:r>
            <w:r>
              <w:rPr>
                <w:rFonts w:hint="eastAsia"/>
                <w:sz w:val="24"/>
              </w:rPr>
              <w:t>处理</w:t>
            </w:r>
            <w:r>
              <w:rPr>
                <w:sz w:val="24"/>
              </w:rPr>
              <w:t>设备安装减震垫圈，</w:t>
            </w:r>
            <w:r>
              <w:rPr>
                <w:rFonts w:hint="eastAsia"/>
                <w:bCs/>
                <w:sz w:val="24"/>
              </w:rPr>
              <w:t>对风机进行包围隔声处理</w:t>
            </w:r>
            <w:r>
              <w:rPr>
                <w:bCs/>
                <w:sz w:val="24"/>
              </w:rPr>
              <w:t>，减少噪声对环境的影响。</w:t>
            </w:r>
          </w:p>
          <w:p>
            <w:pPr>
              <w:spacing w:line="360" w:lineRule="auto"/>
              <w:ind w:firstLine="422" w:firstLineChars="150"/>
              <w:jc w:val="center"/>
              <w:rPr>
                <w:b/>
                <w:sz w:val="24"/>
                <w:szCs w:val="52"/>
              </w:rPr>
            </w:pPr>
            <w:r>
              <w:rPr>
                <w:b/>
                <w:sz w:val="28"/>
                <w:szCs w:val="28"/>
              </w:rPr>
              <mc:AlternateContent>
                <mc:Choice Requires="wps">
                  <w:drawing>
                    <wp:anchor distT="0" distB="0" distL="114300" distR="114300" simplePos="0" relativeHeight="252007424" behindDoc="0" locked="0" layoutInCell="1" allowOverlap="1">
                      <wp:simplePos x="0" y="0"/>
                      <wp:positionH relativeFrom="column">
                        <wp:posOffset>219710</wp:posOffset>
                      </wp:positionH>
                      <wp:positionV relativeFrom="paragraph">
                        <wp:posOffset>220980</wp:posOffset>
                      </wp:positionV>
                      <wp:extent cx="3020695" cy="365760"/>
                      <wp:effectExtent l="0" t="0" r="27305" b="15240"/>
                      <wp:wrapNone/>
                      <wp:docPr id="94" name="Text Box 960"/>
                      <wp:cNvGraphicFramePr/>
                      <a:graphic xmlns:a="http://schemas.openxmlformats.org/drawingml/2006/main">
                        <a:graphicData uri="http://schemas.microsoft.com/office/word/2010/wordprocessingShape">
                          <wps:wsp>
                            <wps:cNvSpPr txBox="1">
                              <a:spLocks noChangeArrowheads="1"/>
                            </wps:cNvSpPr>
                            <wps:spPr bwMode="auto">
                              <a:xfrm>
                                <a:off x="0" y="0"/>
                                <a:ext cx="3020695" cy="365760"/>
                              </a:xfrm>
                              <a:prstGeom prst="rect">
                                <a:avLst/>
                              </a:prstGeom>
                              <a:solidFill>
                                <a:srgbClr val="FFFFFF"/>
                              </a:solidFill>
                              <a:ln w="9525">
                                <a:solidFill>
                                  <a:srgbClr val="000000"/>
                                </a:solidFill>
                                <a:miter lim="200000"/>
                              </a:ln>
                            </wps:spPr>
                            <wps:txbx>
                              <w:txbxContent>
                                <w:p>
                                  <w:pPr>
                                    <w:rPr>
                                      <w:szCs w:val="18"/>
                                    </w:rPr>
                                  </w:pPr>
                                  <w:r>
                                    <w:rPr>
                                      <w:szCs w:val="21"/>
                                    </w:rPr>
                                    <w:t>废气处理装置等设备运行时产生的机械噪声</w:t>
                                  </w:r>
                                </w:p>
                              </w:txbxContent>
                            </wps:txbx>
                            <wps:bodyPr rot="0" vert="horz" wrap="square" lIns="91440" tIns="45720" rIns="91440" bIns="45720" anchor="t" anchorCtr="0" upright="1">
                              <a:noAutofit/>
                            </wps:bodyPr>
                          </wps:wsp>
                        </a:graphicData>
                      </a:graphic>
                    </wp:anchor>
                  </w:drawing>
                </mc:Choice>
                <mc:Fallback>
                  <w:pict>
                    <v:shape id="Text Box 960" o:spid="_x0000_s1026" o:spt="202" type="#_x0000_t202" style="position:absolute;left:0pt;margin-left:17.3pt;margin-top:17.4pt;height:28.8pt;width:237.85pt;z-index:252007424;mso-width-relative:page;mso-height-relative:page;" fillcolor="#FFFFFF" filled="t" stroked="t" coordsize="21600,21600" o:gfxdata="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WoXfvZAAAACAEA&#10;AA8AAAAAAAAAAQAgAAAAIgAAAGRycy9kb3ducmV2LnhtbFBLAQIUABQAAAAIAIdO4kDcdsl6GQIA&#10;ADsEAAAOAAAAAAAAAAEAIAAAACgBAABkcnMvZTJvRG9jLnhtbFBLBQYAAAAABgAGAFkBAACzBQAA&#10;AAA=&#10;">
                      <v:fill on="t" focussize="0,0"/>
                      <v:stroke color="#000000" miterlimit="2" joinstyle="miter"/>
                      <v:imagedata o:title=""/>
                      <o:lock v:ext="edit" aspectratio="f"/>
                      <v:textbox>
                        <w:txbxContent>
                          <w:p>
                            <w:pPr>
                              <w:rPr>
                                <w:szCs w:val="18"/>
                              </w:rPr>
                            </w:pPr>
                            <w:r>
                              <w:rPr>
                                <w:szCs w:val="21"/>
                              </w:rPr>
                              <w:t>废气处理装置等设备运行时产生的机械噪声</w:t>
                            </w:r>
                          </w:p>
                        </w:txbxContent>
                      </v:textbox>
                    </v:shape>
                  </w:pict>
                </mc:Fallback>
              </mc:AlternateContent>
            </w:r>
            <w:r>
              <w:rPr>
                <w:b/>
                <w:sz w:val="28"/>
                <w:szCs w:val="28"/>
              </w:rPr>
              <mc:AlternateContent>
                <mc:Choice Requires="wps">
                  <w:drawing>
                    <wp:anchor distT="0" distB="0" distL="114300" distR="114300" simplePos="0" relativeHeight="252011520" behindDoc="0" locked="0" layoutInCell="1" allowOverlap="1">
                      <wp:simplePos x="0" y="0"/>
                      <wp:positionH relativeFrom="column">
                        <wp:posOffset>4892040</wp:posOffset>
                      </wp:positionH>
                      <wp:positionV relativeFrom="paragraph">
                        <wp:posOffset>231775</wp:posOffset>
                      </wp:positionV>
                      <wp:extent cx="561975" cy="294005"/>
                      <wp:effectExtent l="13335" t="13970" r="5715" b="6350"/>
                      <wp:wrapNone/>
                      <wp:docPr id="96" name="Quad Arrow 165"/>
                      <wp:cNvGraphicFramePr/>
                      <a:graphic xmlns:a="http://schemas.openxmlformats.org/drawingml/2006/main">
                        <a:graphicData uri="http://schemas.microsoft.com/office/word/2010/wordprocessingShape">
                          <wps:wsp>
                            <wps:cNvSpPr txBox="1">
                              <a:spLocks noChangeArrowheads="1"/>
                            </wps:cNvSpPr>
                            <wps:spPr bwMode="auto">
                              <a:xfrm>
                                <a:off x="0" y="0"/>
                                <a:ext cx="561975" cy="294005"/>
                              </a:xfrm>
                              <a:prstGeom prst="rect">
                                <a:avLst/>
                              </a:prstGeom>
                              <a:solidFill>
                                <a:srgbClr val="FFFFFF"/>
                              </a:solidFill>
                              <a:ln w="9525">
                                <a:solidFill>
                                  <a:srgbClr val="000000"/>
                                </a:solidFill>
                                <a:miter lim="200000"/>
                              </a:ln>
                            </wps:spPr>
                            <wps:txbx>
                              <w:txbxContent>
                                <w:p>
                                  <w:pPr>
                                    <w:jc w:val="center"/>
                                    <w:rPr>
                                      <w:sz w:val="18"/>
                                      <w:szCs w:val="18"/>
                                    </w:rPr>
                                  </w:pPr>
                                  <w:r>
                                    <w:rPr>
                                      <w:rFonts w:hint="eastAsia"/>
                                      <w:sz w:val="18"/>
                                      <w:szCs w:val="18"/>
                                    </w:rPr>
                                    <w:t>排放</w:t>
                                  </w:r>
                                </w:p>
                              </w:txbxContent>
                            </wps:txbx>
                            <wps:bodyPr rot="0" vert="horz" wrap="square" lIns="91440" tIns="45720" rIns="91440" bIns="45720" anchor="t" anchorCtr="0" upright="1">
                              <a:noAutofit/>
                            </wps:bodyPr>
                          </wps:wsp>
                        </a:graphicData>
                      </a:graphic>
                    </wp:anchor>
                  </w:drawing>
                </mc:Choice>
                <mc:Fallback>
                  <w:pict>
                    <v:shape id="Quad Arrow 165" o:spid="_x0000_s1026" o:spt="202" type="#_x0000_t202" style="position:absolute;left:0pt;margin-left:385.2pt;margin-top:18.25pt;height:23.15pt;width:44.25pt;z-index:252011520;mso-width-relative:page;mso-height-relative:page;" fillcolor="#FFFFFF" filled="t" stroked="t" coordsize="21600,21600" o:gfxdata="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G07Y2gAAAAkBAAAP&#10;AAAAAAAAAAEAIAAAACIAAABkcnMvZG93bnJldi54bWxQSwECFAAUAAAACACHTuJAsdvZnhYCAAA8&#10;BAAADgAAAAAAAAABACAAAAApAQAAZHJzL2Uyb0RvYy54bWxQSwUGAAAAAAYABgBZAQAAsQUAAAAA&#10;">
                      <v:fill on="t" focussize="0,0"/>
                      <v:stroke color="#000000" miterlimit="2" joinstyle="miter"/>
                      <v:imagedata o:title=""/>
                      <o:lock v:ext="edit" aspectratio="f"/>
                      <v:textbox>
                        <w:txbxContent>
                          <w:p>
                            <w:pPr>
                              <w:jc w:val="center"/>
                              <w:rPr>
                                <w:sz w:val="18"/>
                                <w:szCs w:val="18"/>
                              </w:rPr>
                            </w:pPr>
                            <w:r>
                              <w:rPr>
                                <w:rFonts w:hint="eastAsia"/>
                                <w:sz w:val="18"/>
                                <w:szCs w:val="18"/>
                              </w:rPr>
                              <w:t>排放</w:t>
                            </w:r>
                          </w:p>
                        </w:txbxContent>
                      </v:textbox>
                    </v:shape>
                  </w:pict>
                </mc:Fallback>
              </mc:AlternateContent>
            </w:r>
            <w:r>
              <w:rPr>
                <w:b/>
                <w:sz w:val="28"/>
                <w:szCs w:val="28"/>
              </w:rPr>
              <mc:AlternateContent>
                <mc:Choice Requires="wps">
                  <w:drawing>
                    <wp:anchor distT="0" distB="0" distL="114300" distR="114300" simplePos="0" relativeHeight="252010496" behindDoc="0" locked="0" layoutInCell="1" allowOverlap="1">
                      <wp:simplePos x="0" y="0"/>
                      <wp:positionH relativeFrom="column">
                        <wp:posOffset>3510915</wp:posOffset>
                      </wp:positionH>
                      <wp:positionV relativeFrom="paragraph">
                        <wp:posOffset>245745</wp:posOffset>
                      </wp:positionV>
                      <wp:extent cx="1114425" cy="289560"/>
                      <wp:effectExtent l="13335" t="8890" r="5715" b="6350"/>
                      <wp:wrapNone/>
                      <wp:docPr id="95" name="Quad Arrow 192"/>
                      <wp:cNvGraphicFramePr/>
                      <a:graphic xmlns:a="http://schemas.openxmlformats.org/drawingml/2006/main">
                        <a:graphicData uri="http://schemas.microsoft.com/office/word/2010/wordprocessingShape">
                          <wps:wsp>
                            <wps:cNvSpPr txBox="1">
                              <a:spLocks noChangeArrowheads="1"/>
                            </wps:cNvSpPr>
                            <wps:spPr bwMode="auto">
                              <a:xfrm>
                                <a:off x="0" y="0"/>
                                <a:ext cx="1114425" cy="289560"/>
                              </a:xfrm>
                              <a:prstGeom prst="rect">
                                <a:avLst/>
                              </a:prstGeom>
                              <a:solidFill>
                                <a:srgbClr val="FFFFFF"/>
                              </a:solidFill>
                              <a:ln w="9525">
                                <a:solidFill>
                                  <a:srgbClr val="000000"/>
                                </a:solidFill>
                                <a:miter lim="200000"/>
                              </a:ln>
                            </wps:spPr>
                            <wps:txbx>
                              <w:txbxContent>
                                <w:p>
                                  <w:pPr>
                                    <w:rPr>
                                      <w:sz w:val="18"/>
                                      <w:szCs w:val="18"/>
                                    </w:rPr>
                                  </w:pPr>
                                  <w:r>
                                    <w:rPr>
                                      <w:rFonts w:hint="eastAsia"/>
                                      <w:sz w:val="18"/>
                                      <w:szCs w:val="18"/>
                                    </w:rPr>
                                    <w:t>减振、消声、隔声</w:t>
                                  </w:r>
                                </w:p>
                              </w:txbxContent>
                            </wps:txbx>
                            <wps:bodyPr rot="0" vert="horz" wrap="square" lIns="91440" tIns="45720" rIns="91440" bIns="45720" anchor="t" anchorCtr="0" upright="1">
                              <a:noAutofit/>
                            </wps:bodyPr>
                          </wps:wsp>
                        </a:graphicData>
                      </a:graphic>
                    </wp:anchor>
                  </w:drawing>
                </mc:Choice>
                <mc:Fallback>
                  <w:pict>
                    <v:shape id="Quad Arrow 192" o:spid="_x0000_s1026" o:spt="202" type="#_x0000_t202" style="position:absolute;left:0pt;margin-left:276.45pt;margin-top:19.35pt;height:22.8pt;width:87.75pt;z-index:252010496;mso-width-relative:page;mso-height-relative:page;" fillcolor="#FFFFFF" filled="t" stroked="t" coordsize="21600,21600" o:gfxdata="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RKXZNsAAAAJAQAADwAA&#10;AAAAAAABACAAAAAiAAAAZHJzL2Rvd25yZXYueG1sUEsBAhQAFAAAAAgAh07iQJoOQmcTAgAAPQQA&#10;AA4AAAAAAAAAAQAgAAAAKgEAAGRycy9lMm9Eb2MueG1sUEsFBgAAAAAGAAYAWQEAAK8FAAAAAA==&#10;">
                      <v:fill on="t" focussize="0,0"/>
                      <v:stroke color="#000000" miterlimit="2" joinstyle="miter"/>
                      <v:imagedata o:title=""/>
                      <o:lock v:ext="edit" aspectratio="f"/>
                      <v:textbox>
                        <w:txbxContent>
                          <w:p>
                            <w:pPr>
                              <w:rPr>
                                <w:sz w:val="18"/>
                                <w:szCs w:val="18"/>
                              </w:rPr>
                            </w:pPr>
                            <w:r>
                              <w:rPr>
                                <w:rFonts w:hint="eastAsia"/>
                                <w:sz w:val="18"/>
                                <w:szCs w:val="18"/>
                              </w:rPr>
                              <w:t>减振、消声、隔声</w:t>
                            </w:r>
                          </w:p>
                        </w:txbxContent>
                      </v:textbox>
                    </v:shape>
                  </w:pict>
                </mc:Fallback>
              </mc:AlternateContent>
            </w:r>
          </w:p>
          <w:p>
            <w:pPr>
              <w:spacing w:line="240" w:lineRule="exact"/>
              <w:ind w:firstLine="422" w:firstLineChars="150"/>
              <w:jc w:val="center"/>
              <w:rPr>
                <w:b/>
                <w:sz w:val="24"/>
                <w:szCs w:val="52"/>
              </w:rPr>
            </w:pPr>
            <w:r>
              <w:rPr>
                <w:b/>
                <w:sz w:val="28"/>
                <w:szCs w:val="28"/>
              </w:rPr>
              <mc:AlternateContent>
                <mc:Choice Requires="wps">
                  <w:drawing>
                    <wp:anchor distT="0" distB="0" distL="114300" distR="114300" simplePos="0" relativeHeight="252009472" behindDoc="0" locked="0" layoutInCell="1" allowOverlap="1">
                      <wp:simplePos x="0" y="0"/>
                      <wp:positionH relativeFrom="column">
                        <wp:posOffset>4625340</wp:posOffset>
                      </wp:positionH>
                      <wp:positionV relativeFrom="paragraph">
                        <wp:posOffset>65405</wp:posOffset>
                      </wp:positionV>
                      <wp:extent cx="266700" cy="0"/>
                      <wp:effectExtent l="13335" t="59055" r="15240" b="55245"/>
                      <wp:wrapNone/>
                      <wp:docPr id="93" name="AutoShape 968"/>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triangle" w="med" len="med"/>
                              </a:ln>
                            </wps:spPr>
                            <wps:bodyPr/>
                          </wps:wsp>
                        </a:graphicData>
                      </a:graphic>
                    </wp:anchor>
                  </w:drawing>
                </mc:Choice>
                <mc:Fallback>
                  <w:pict>
                    <v:shape id="AutoShape 968" o:spid="_x0000_s1026" o:spt="32" type="#_x0000_t32" style="position:absolute;left:0pt;margin-left:364.2pt;margin-top:5.15pt;height:0pt;width:21pt;z-index:252009472;mso-width-relative:page;mso-height-relative:page;" filled="f" stroked="t" coordsize="21600,21600" o:gfxdata="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Du+2D2AAAAAkBAAAPAAAAAAAAAAEA&#10;IAAAACIAAABkcnMvZG93bnJldi54bWxQSwECFAAUAAAACACHTuJAnVHUetYBAACUAwAADgAAAAAA&#10;AAABACAAAAAnAQAAZHJzL2Uyb0RvYy54bWxQSwUGAAAAAAYABgBZAQAAbwUAAAAA&#10;">
                      <v:fill on="f" focussize="0,0"/>
                      <v:stroke color="#000000" joinstyle="round" endarrow="block"/>
                      <v:imagedata o:title=""/>
                      <o:lock v:ext="edit" aspectratio="f"/>
                    </v:shape>
                  </w:pict>
                </mc:Fallback>
              </mc:AlternateContent>
            </w:r>
            <w:r>
              <w:rPr>
                <w:b/>
                <w:sz w:val="28"/>
                <w:szCs w:val="28"/>
              </w:rPr>
              <mc:AlternateContent>
                <mc:Choice Requires="wps">
                  <w:drawing>
                    <wp:anchor distT="0" distB="0" distL="114300" distR="114300" simplePos="0" relativeHeight="252008448" behindDoc="0" locked="0" layoutInCell="1" allowOverlap="1">
                      <wp:simplePos x="0" y="0"/>
                      <wp:positionH relativeFrom="column">
                        <wp:posOffset>3244215</wp:posOffset>
                      </wp:positionH>
                      <wp:positionV relativeFrom="paragraph">
                        <wp:posOffset>84455</wp:posOffset>
                      </wp:positionV>
                      <wp:extent cx="266700" cy="0"/>
                      <wp:effectExtent l="13335" t="59055" r="15240" b="55245"/>
                      <wp:wrapNone/>
                      <wp:docPr id="92" name="AutoShape 962"/>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triangle" w="med" len="med"/>
                              </a:ln>
                            </wps:spPr>
                            <wps:bodyPr/>
                          </wps:wsp>
                        </a:graphicData>
                      </a:graphic>
                    </wp:anchor>
                  </w:drawing>
                </mc:Choice>
                <mc:Fallback>
                  <w:pict>
                    <v:shape id="AutoShape 962" o:spid="_x0000_s1026" o:spt="32" type="#_x0000_t32" style="position:absolute;left:0pt;margin-left:255.45pt;margin-top:6.65pt;height:0pt;width:21pt;z-index:252008448;mso-width-relative:page;mso-height-relative:page;" filled="f" stroked="t" coordsize="21600,21600" o:gfxdata="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YWOUDYAAAACQEAAA8AAAAAAAAAAQAg&#10;AAAAIgAAAGRycy9kb3ducmV2LnhtbFBLAQIUABQAAAAIAIdO4kB6UfEe1QEAAJQDAAAOAAAAAAAA&#10;AAEAIAAAACcBAABkcnMvZTJvRG9jLnhtbFBLBQYAAAAABgAGAFkBAABuBQAAAAA=&#10;">
                      <v:fill on="f" focussize="0,0"/>
                      <v:stroke color="#000000" joinstyle="round" endarrow="block"/>
                      <v:imagedata o:title=""/>
                      <o:lock v:ext="edit" aspectratio="f"/>
                    </v:shape>
                  </w:pict>
                </mc:Fallback>
              </mc:AlternateContent>
            </w:r>
          </w:p>
          <w:p>
            <w:pPr>
              <w:autoSpaceDE w:val="0"/>
              <w:autoSpaceDN w:val="0"/>
              <w:adjustRightInd w:val="0"/>
              <w:spacing w:line="360" w:lineRule="auto"/>
              <w:jc w:val="left"/>
              <w:rPr>
                <w:b/>
                <w:kern w:val="0"/>
                <w:sz w:val="24"/>
              </w:rPr>
            </w:pPr>
          </w:p>
          <w:p>
            <w:pPr>
              <w:autoSpaceDE w:val="0"/>
              <w:autoSpaceDN w:val="0"/>
              <w:adjustRightInd w:val="0"/>
              <w:spacing w:line="360" w:lineRule="auto"/>
              <w:jc w:val="center"/>
              <w:rPr>
                <w:b/>
                <w:szCs w:val="21"/>
              </w:rPr>
            </w:pPr>
            <w:r>
              <w:rPr>
                <w:rFonts w:hint="eastAsia"/>
                <w:b/>
                <w:szCs w:val="21"/>
              </w:rPr>
              <w:t>图</w:t>
            </w:r>
            <w:r>
              <w:rPr>
                <w:b/>
                <w:szCs w:val="21"/>
              </w:rPr>
              <w:t>7</w:t>
            </w:r>
            <w:r>
              <w:rPr>
                <w:rFonts w:hint="eastAsia"/>
                <w:b/>
                <w:szCs w:val="21"/>
              </w:rPr>
              <w:t>-噪声排放流程</w:t>
            </w:r>
          </w:p>
          <w:p>
            <w:pPr>
              <w:autoSpaceDE w:val="0"/>
              <w:autoSpaceDN w:val="0"/>
              <w:adjustRightInd w:val="0"/>
              <w:spacing w:line="360" w:lineRule="auto"/>
              <w:jc w:val="left"/>
              <w:rPr>
                <w:b/>
                <w:kern w:val="0"/>
                <w:sz w:val="24"/>
              </w:rPr>
            </w:pPr>
            <w:r>
              <w:rPr>
                <w:rFonts w:hint="eastAsia"/>
                <w:b/>
                <w:kern w:val="0"/>
                <w:sz w:val="24"/>
              </w:rPr>
              <w:t>4、</w:t>
            </w:r>
            <w:r>
              <w:rPr>
                <w:b/>
                <w:kern w:val="0"/>
                <w:sz w:val="24"/>
              </w:rPr>
              <w:t>固体废物污染防治措施</w:t>
            </w:r>
          </w:p>
          <w:p>
            <w:pPr>
              <w:spacing w:line="360" w:lineRule="auto"/>
              <w:ind w:firstLine="480" w:firstLineChars="200"/>
              <w:rPr>
                <w:sz w:val="24"/>
              </w:rPr>
            </w:pPr>
            <w:r>
              <w:rPr>
                <w:rFonts w:hint="eastAsia"/>
                <w:sz w:val="24"/>
              </w:rPr>
              <w:t>1、</w:t>
            </w:r>
            <w:r>
              <w:rPr>
                <w:sz w:val="24"/>
              </w:rPr>
              <w:t>生活垃圾：设置生活垃圾收集场所或容器，并做到生活垃圾收集容器化，生活垃圾的收集与转运应并入当地环卫管理系统统一安排。</w:t>
            </w:r>
          </w:p>
          <w:p>
            <w:pPr>
              <w:spacing w:line="360" w:lineRule="auto"/>
              <w:ind w:firstLine="480" w:firstLineChars="200"/>
              <w:rPr>
                <w:sz w:val="24"/>
              </w:rPr>
            </w:pPr>
            <w:r>
              <w:rPr>
                <w:rFonts w:hint="eastAsia"/>
                <w:sz w:val="24"/>
              </w:rPr>
              <w:t>2、一般</w:t>
            </w:r>
            <w:r>
              <w:rPr>
                <w:sz w:val="24"/>
              </w:rPr>
              <w:t>工业废物：具有回收价值，建议收集后交给专门的物资回收公司回收利用，实现资源化，减少废弃物排放。</w:t>
            </w:r>
          </w:p>
          <w:p>
            <w:pPr>
              <w:spacing w:line="360" w:lineRule="auto"/>
              <w:ind w:firstLine="480" w:firstLineChars="200"/>
              <w:rPr>
                <w:sz w:val="24"/>
              </w:rPr>
            </w:pPr>
            <w:r>
              <w:rPr>
                <w:sz w:val="24"/>
              </w:rPr>
              <w:t>3</w:t>
            </w:r>
            <w:r>
              <w:rPr>
                <w:rFonts w:hint="eastAsia"/>
                <w:sz w:val="24"/>
              </w:rPr>
              <w:t>、</w:t>
            </w:r>
            <w:r>
              <w:rPr>
                <w:sz w:val="24"/>
              </w:rPr>
              <w:t>危险废物：</w:t>
            </w:r>
            <w:r>
              <w:rPr>
                <w:rFonts w:hint="eastAsia"/>
                <w:sz w:val="24"/>
              </w:rPr>
              <w:t>定期</w:t>
            </w:r>
            <w:r>
              <w:rPr>
                <w:sz w:val="24"/>
              </w:rPr>
              <w:t>交由深圳</w:t>
            </w:r>
            <w:r>
              <w:rPr>
                <w:rFonts w:hint="eastAsia"/>
                <w:sz w:val="24"/>
              </w:rPr>
              <w:t>宝安东江环保技术有限公司进行进行处理处置</w:t>
            </w:r>
            <w:r>
              <w:rPr>
                <w:sz w:val="24"/>
              </w:rPr>
              <w:t>，并持危险废物转移处理协议。</w:t>
            </w:r>
          </w:p>
        </w:tc>
      </w:tr>
    </w:tbl>
    <w:p>
      <w:pPr>
        <w:snapToGrid w:val="0"/>
        <w:spacing w:line="360" w:lineRule="auto"/>
        <w:rPr>
          <w:b/>
          <w:sz w:val="28"/>
        </w:rPr>
      </w:pPr>
    </w:p>
    <w:p>
      <w:pPr>
        <w:snapToGrid w:val="0"/>
        <w:spacing w:line="360" w:lineRule="auto"/>
        <w:rPr>
          <w:b/>
          <w:sz w:val="28"/>
        </w:rPr>
      </w:pPr>
    </w:p>
    <w:p>
      <w:pPr>
        <w:snapToGrid w:val="0"/>
        <w:spacing w:line="360" w:lineRule="auto"/>
        <w:rPr>
          <w:b/>
          <w:sz w:val="28"/>
        </w:rPr>
      </w:pPr>
    </w:p>
    <w:p>
      <w:pPr>
        <w:snapToGrid w:val="0"/>
        <w:spacing w:line="360" w:lineRule="auto"/>
        <w:rPr>
          <w:b/>
          <w:sz w:val="28"/>
        </w:rPr>
      </w:pPr>
      <w:r>
        <w:rPr>
          <w:b/>
          <w:sz w:val="28"/>
        </w:rPr>
        <w:t>续表三</w:t>
      </w:r>
    </w:p>
    <w:tbl>
      <w:tblPr>
        <w:tblStyle w:val="20"/>
        <w:tblW w:w="934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853" w:hRule="atLeast"/>
          <w:jc w:val="center"/>
        </w:trPr>
        <w:tc>
          <w:tcPr>
            <w:tcW w:w="9348" w:type="dxa"/>
          </w:tcPr>
          <w:p>
            <w:pPr>
              <w:autoSpaceDE w:val="0"/>
              <w:autoSpaceDN w:val="0"/>
              <w:adjustRightInd w:val="0"/>
              <w:spacing w:line="360" w:lineRule="auto"/>
              <w:jc w:val="left"/>
              <w:rPr>
                <w:b/>
                <w:kern w:val="0"/>
                <w:sz w:val="20"/>
                <w:szCs w:val="20"/>
              </w:rPr>
            </w:pPr>
            <w:r>
              <w:rPr>
                <w:rFonts w:hint="eastAsia"/>
                <w:b/>
                <w:kern w:val="0"/>
                <w:sz w:val="24"/>
                <w:lang w:val="en-US" w:eastAsia="zh-CN"/>
              </w:rPr>
              <w:t>5</w:t>
            </w:r>
            <w:r>
              <w:rPr>
                <w:b/>
                <w:kern w:val="0"/>
                <w:sz w:val="24"/>
              </w:rPr>
              <w:t>、监测点位图</w:t>
            </w:r>
          </w:p>
          <w:p>
            <w:pPr>
              <w:widowControl/>
              <w:jc w:val="center"/>
              <w:rPr>
                <w:rFonts w:ascii="宋体" w:hAnsi="宋体" w:cs="宋体"/>
                <w:kern w:val="0"/>
                <w:sz w:val="24"/>
              </w:rPr>
            </w:pPr>
            <w:r>
              <w:drawing>
                <wp:inline distT="0" distB="0" distL="0" distR="0">
                  <wp:extent cx="5275580" cy="3699510"/>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5580" cy="3699510"/>
                          </a:xfrm>
                          <a:prstGeom prst="rect">
                            <a:avLst/>
                          </a:prstGeom>
                          <a:noFill/>
                          <a:ln>
                            <a:noFill/>
                          </a:ln>
                        </pic:spPr>
                      </pic:pic>
                    </a:graphicData>
                  </a:graphic>
                </wp:inline>
              </w:drawing>
            </w:r>
            <w:r>
              <w:rPr>
                <w:b/>
                <w:kern w:val="0"/>
                <w:sz w:val="24"/>
              </w:rPr>
              <mc:AlternateContent>
                <mc:Choice Requires="wps">
                  <w:drawing>
                    <wp:anchor distT="0" distB="0" distL="114300" distR="114300" simplePos="0" relativeHeight="252029952" behindDoc="0" locked="0" layoutInCell="1" allowOverlap="1">
                      <wp:simplePos x="0" y="0"/>
                      <wp:positionH relativeFrom="column">
                        <wp:posOffset>4965700</wp:posOffset>
                      </wp:positionH>
                      <wp:positionV relativeFrom="paragraph">
                        <wp:posOffset>1065530</wp:posOffset>
                      </wp:positionV>
                      <wp:extent cx="312420" cy="352425"/>
                      <wp:effectExtent l="0" t="1905" r="3810" b="0"/>
                      <wp:wrapNone/>
                      <wp:docPr id="88" name="Text Box 1223"/>
                      <wp:cNvGraphicFramePr/>
                      <a:graphic xmlns:a="http://schemas.openxmlformats.org/drawingml/2006/main">
                        <a:graphicData uri="http://schemas.microsoft.com/office/word/2010/wordprocessingShape">
                          <wps:wsp>
                            <wps:cNvSpPr txBox="1">
                              <a:spLocks noChangeArrowheads="1"/>
                            </wps:cNvSpPr>
                            <wps:spPr bwMode="auto">
                              <a:xfrm>
                                <a:off x="0" y="0"/>
                                <a:ext cx="312420" cy="352425"/>
                              </a:xfrm>
                              <a:prstGeom prst="rect">
                                <a:avLst/>
                              </a:prstGeom>
                              <a:noFill/>
                              <a:ln>
                                <a:noFill/>
                              </a:ln>
                            </wps:spPr>
                            <wps:txbx>
                              <w:txbxContent>
                                <w:p>
                                  <w:r>
                                    <w:rPr>
                                      <w:rFonts w:hint="eastAsia"/>
                                    </w:rPr>
                                    <w:t>N</w:t>
                                  </w:r>
                                </w:p>
                              </w:txbxContent>
                            </wps:txbx>
                            <wps:bodyPr rot="0" vert="horz" wrap="square" lIns="91440" tIns="45720" rIns="91440" bIns="45720" anchor="t" anchorCtr="0" upright="1">
                              <a:noAutofit/>
                            </wps:bodyPr>
                          </wps:wsp>
                        </a:graphicData>
                      </a:graphic>
                    </wp:anchor>
                  </w:drawing>
                </mc:Choice>
                <mc:Fallback>
                  <w:pict>
                    <v:shape id="Text Box 1223" o:spid="_x0000_s1026" o:spt="202" type="#_x0000_t202" style="position:absolute;left:0pt;margin-left:391pt;margin-top:83.9pt;height:27.75pt;width:24.6pt;z-index:252029952;mso-width-relative:page;mso-height-relative:page;" filled="f" stroked="f" coordsize="21600,21600" o:gfxdata="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NWlRdgAAAALAQAADwAAAAAAAAABACAAAAAiAAAAZHJzL2Rvd25yZXYueG1sUEsBAhQAFAAAAAgA&#10;h07iQOcEmRfsAQAAyQMAAA4AAAAAAAAAAQAgAAAAJwEAAGRycy9lMm9Eb2MueG1sUEsFBgAAAAAG&#10;AAYAWQEAAIUFAAAAAA==&#10;">
                      <v:fill on="f" focussize="0,0"/>
                      <v:stroke on="f"/>
                      <v:imagedata o:title=""/>
                      <o:lock v:ext="edit" aspectratio="f"/>
                      <v:textbox>
                        <w:txbxContent>
                          <w:p>
                            <w:r>
                              <w:rPr>
                                <w:rFonts w:hint="eastAsia"/>
                              </w:rPr>
                              <w:t>N</w:t>
                            </w:r>
                          </w:p>
                        </w:txbxContent>
                      </v:textbox>
                    </v:shape>
                  </w:pict>
                </mc:Fallback>
              </mc:AlternateContent>
            </w:r>
            <w:r>
              <w:rPr>
                <w:b/>
                <w:kern w:val="0"/>
                <w:sz w:val="24"/>
              </w:rPr>
              <mc:AlternateContent>
                <mc:Choice Requires="wps">
                  <w:drawing>
                    <wp:anchor distT="0" distB="0" distL="114300" distR="114300" simplePos="0" relativeHeight="252028928" behindDoc="0" locked="0" layoutInCell="1" allowOverlap="1">
                      <wp:simplePos x="0" y="0"/>
                      <wp:positionH relativeFrom="column">
                        <wp:posOffset>4794885</wp:posOffset>
                      </wp:positionH>
                      <wp:positionV relativeFrom="paragraph">
                        <wp:posOffset>781685</wp:posOffset>
                      </wp:positionV>
                      <wp:extent cx="0" cy="495300"/>
                      <wp:effectExtent l="92710" t="35560" r="88265" b="21590"/>
                      <wp:wrapNone/>
                      <wp:docPr id="87" name="AutoShape 1222"/>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38100">
                                <a:solidFill>
                                  <a:schemeClr val="tx1">
                                    <a:lumMod val="100000"/>
                                    <a:lumOff val="0"/>
                                  </a:schemeClr>
                                </a:solidFill>
                                <a:round/>
                                <a:tailEnd type="triangle" w="med" len="med"/>
                              </a:ln>
                            </wps:spPr>
                            <wps:bodyPr/>
                          </wps:wsp>
                        </a:graphicData>
                      </a:graphic>
                    </wp:anchor>
                  </w:drawing>
                </mc:Choice>
                <mc:Fallback>
                  <w:pict>
                    <v:shape id="AutoShape 1222" o:spid="_x0000_s1026" o:spt="32" type="#_x0000_t32" style="position:absolute;left:0pt;flip:y;margin-left:377.55pt;margin-top:61.55pt;height:39pt;width:0pt;z-index:252028928;mso-width-relative:page;mso-height-relative:page;" filled="f" stroked="t" coordsize="21600,21600" o:gfxdata="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OrFI2AAAAAsBAAAPAAAAAAAAAAEAIAAAACIAAABkcnMvZG93bnJldi54bWxQSwECFAAU&#10;AAAACACHTuJARGuLO/EBAADWAwAADgAAAAAAAAABACAAAAAnAQAAZHJzL2Uyb0RvYy54bWxQSwUG&#10;AAAAAAYABgBZAQAAigUAAAAA&#10;">
                      <v:fill on="f" focussize="0,0"/>
                      <v:stroke weight="3pt" color="#000000 [3229]" joinstyle="round" endarrow="block"/>
                      <v:imagedata o:title=""/>
                      <o:lock v:ext="edit" aspectratio="f"/>
                    </v:shape>
                  </w:pict>
                </mc:Fallback>
              </mc:AlternateContent>
            </w:r>
            <w:r>
              <w:rPr>
                <w:kern w:val="0"/>
                <w:sz w:val="24"/>
              </w:rPr>
              <mc:AlternateContent>
                <mc:Choice Requires="wps">
                  <w:drawing>
                    <wp:anchor distT="0" distB="0" distL="114300" distR="114300" simplePos="0" relativeHeight="251643904" behindDoc="0" locked="0" layoutInCell="1" allowOverlap="1">
                      <wp:simplePos x="0" y="0"/>
                      <wp:positionH relativeFrom="column">
                        <wp:posOffset>4131310</wp:posOffset>
                      </wp:positionH>
                      <wp:positionV relativeFrom="paragraph">
                        <wp:posOffset>3731895</wp:posOffset>
                      </wp:positionV>
                      <wp:extent cx="1494790" cy="1004570"/>
                      <wp:effectExtent l="1905" t="4445" r="0" b="635"/>
                      <wp:wrapNone/>
                      <wp:docPr id="71" name="Text Box 552"/>
                      <wp:cNvGraphicFramePr/>
                      <a:graphic xmlns:a="http://schemas.openxmlformats.org/drawingml/2006/main">
                        <a:graphicData uri="http://schemas.microsoft.com/office/word/2010/wordprocessingShape">
                          <wps:wsp>
                            <wps:cNvSpPr txBox="1">
                              <a:spLocks noChangeArrowheads="1"/>
                            </wps:cNvSpPr>
                            <wps:spPr bwMode="auto">
                              <a:xfrm>
                                <a:off x="0" y="0"/>
                                <a:ext cx="1494790" cy="1004570"/>
                              </a:xfrm>
                              <a:prstGeom prst="rect">
                                <a:avLst/>
                              </a:prstGeom>
                              <a:noFill/>
                              <a:ln>
                                <a:noFill/>
                              </a:ln>
                            </wps:spPr>
                            <wps:txbx>
                              <w:txbxContent>
                                <w:p>
                                  <w:pPr>
                                    <w:ind w:firstLine="90" w:firstLineChars="50"/>
                                    <w:rPr>
                                      <w:sz w:val="18"/>
                                      <w:szCs w:val="18"/>
                                    </w:rPr>
                                  </w:pPr>
                                  <w:r>
                                    <w:rPr>
                                      <w:sz w:val="18"/>
                                      <w:szCs w:val="18"/>
                                    </w:rPr>
                                    <w:t>图例：</w:t>
                                  </w:r>
                                </w:p>
                                <w:p>
                                  <w:pPr>
                                    <w:rPr>
                                      <w:sz w:val="18"/>
                                      <w:szCs w:val="18"/>
                                    </w:rPr>
                                  </w:pPr>
                                  <w:r>
                                    <w:rPr>
                                      <w:sz w:val="18"/>
                                      <w:szCs w:val="18"/>
                                    </w:rPr>
                                    <w:t>“</w:t>
                                  </w:r>
                                  <w:r>
                                    <w:rPr>
                                      <w:rFonts w:hint="eastAsia"/>
                                      <w:sz w:val="18"/>
                                      <w:szCs w:val="18"/>
                                    </w:rPr>
                                    <w:t>★</w:t>
                                  </w:r>
                                  <w:r>
                                    <w:rPr>
                                      <w:sz w:val="18"/>
                                      <w:szCs w:val="18"/>
                                    </w:rPr>
                                    <w:t>”为废水监测点位</w:t>
                                  </w:r>
                                </w:p>
                                <w:p>
                                  <w:pPr>
                                    <w:rPr>
                                      <w:sz w:val="18"/>
                                      <w:szCs w:val="18"/>
                                    </w:rPr>
                                  </w:pPr>
                                  <w:r>
                                    <w:rPr>
                                      <w:sz w:val="18"/>
                                      <w:szCs w:val="18"/>
                                    </w:rPr>
                                    <w:t>“</w:t>
                                  </w:r>
                                  <w:r>
                                    <w:rPr>
                                      <w:rFonts w:hint="eastAsia" w:ascii="宋体" w:hAnsi="宋体"/>
                                      <w:sz w:val="18"/>
                                      <w:szCs w:val="18"/>
                                    </w:rPr>
                                    <w:t>◎</w:t>
                                  </w:r>
                                  <w:r>
                                    <w:rPr>
                                      <w:sz w:val="18"/>
                                      <w:szCs w:val="18"/>
                                    </w:rPr>
                                    <w:t>”为</w:t>
                                  </w:r>
                                  <w:r>
                                    <w:rPr>
                                      <w:rFonts w:hint="eastAsia" w:hAnsi="宋体"/>
                                      <w:sz w:val="18"/>
                                      <w:szCs w:val="18"/>
                                    </w:rPr>
                                    <w:t>有</w:t>
                                  </w:r>
                                  <w:r>
                                    <w:rPr>
                                      <w:rFonts w:hAnsi="宋体"/>
                                      <w:sz w:val="18"/>
                                      <w:szCs w:val="18"/>
                                    </w:rPr>
                                    <w:t>组织废气监测点</w:t>
                                  </w:r>
                                </w:p>
                                <w:p>
                                  <w:pPr>
                                    <w:rPr>
                                      <w:sz w:val="18"/>
                                      <w:szCs w:val="18"/>
                                    </w:rPr>
                                  </w:pPr>
                                  <w:r>
                                    <w:rPr>
                                      <w:sz w:val="18"/>
                                      <w:szCs w:val="18"/>
                                    </w:rPr>
                                    <w:t>“</w:t>
                                  </w:r>
                                  <w:r>
                                    <w:rPr>
                                      <w:rFonts w:hint="eastAsia"/>
                                      <w:sz w:val="18"/>
                                      <w:szCs w:val="18"/>
                                    </w:rPr>
                                    <w:t>▲</w:t>
                                  </w:r>
                                  <w:r>
                                    <w:rPr>
                                      <w:sz w:val="18"/>
                                      <w:szCs w:val="18"/>
                                    </w:rPr>
                                    <w:t>”为噪声监测点位</w:t>
                                  </w:r>
                                </w:p>
                              </w:txbxContent>
                            </wps:txbx>
                            <wps:bodyPr rot="0" vert="horz" wrap="square" lIns="91440" tIns="45720" rIns="91440" bIns="45720" anchor="t" anchorCtr="0" upright="1">
                              <a:noAutofit/>
                            </wps:bodyPr>
                          </wps:wsp>
                        </a:graphicData>
                      </a:graphic>
                    </wp:anchor>
                  </w:drawing>
                </mc:Choice>
                <mc:Fallback>
                  <w:pict>
                    <v:shape id="Text Box 552" o:spid="_x0000_s1026" o:spt="202" type="#_x0000_t202" style="position:absolute;left:0pt;margin-left:325.3pt;margin-top:293.85pt;height:79.1pt;width:117.7pt;z-index:251643904;mso-width-relative:page;mso-height-relative:page;" filled="f" stroked="f" coordsize="21600,21600" o:gfxdata="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DfkqrYAAAACwEAAA8AAAAAAAAAAQAgAAAAIgAAAGRycy9kb3ducmV2LnhtbFBLAQIUABQAAAAI&#10;AIdO4kArLKYC7QEAAMoDAAAOAAAAAAAAAAEAIAAAACcBAABkcnMvZTJvRG9jLnhtbFBLBQYAAAAA&#10;BgAGAFkBAACGBQAAAAA=&#10;">
                      <v:fill on="f" focussize="0,0"/>
                      <v:stroke on="f"/>
                      <v:imagedata o:title=""/>
                      <o:lock v:ext="edit" aspectratio="f"/>
                      <v:textbox>
                        <w:txbxContent>
                          <w:p>
                            <w:pPr>
                              <w:ind w:firstLine="90" w:firstLineChars="50"/>
                              <w:rPr>
                                <w:sz w:val="18"/>
                                <w:szCs w:val="18"/>
                              </w:rPr>
                            </w:pPr>
                            <w:r>
                              <w:rPr>
                                <w:sz w:val="18"/>
                                <w:szCs w:val="18"/>
                              </w:rPr>
                              <w:t>图例：</w:t>
                            </w:r>
                          </w:p>
                          <w:p>
                            <w:pPr>
                              <w:rPr>
                                <w:sz w:val="18"/>
                                <w:szCs w:val="18"/>
                              </w:rPr>
                            </w:pPr>
                            <w:r>
                              <w:rPr>
                                <w:sz w:val="18"/>
                                <w:szCs w:val="18"/>
                              </w:rPr>
                              <w:t>“</w:t>
                            </w:r>
                            <w:r>
                              <w:rPr>
                                <w:rFonts w:hint="eastAsia"/>
                                <w:sz w:val="18"/>
                                <w:szCs w:val="18"/>
                              </w:rPr>
                              <w:t>★</w:t>
                            </w:r>
                            <w:r>
                              <w:rPr>
                                <w:sz w:val="18"/>
                                <w:szCs w:val="18"/>
                              </w:rPr>
                              <w:t>”为废水监测点位</w:t>
                            </w:r>
                          </w:p>
                          <w:p>
                            <w:pPr>
                              <w:rPr>
                                <w:sz w:val="18"/>
                                <w:szCs w:val="18"/>
                              </w:rPr>
                            </w:pPr>
                            <w:r>
                              <w:rPr>
                                <w:sz w:val="18"/>
                                <w:szCs w:val="18"/>
                              </w:rPr>
                              <w:t>“</w:t>
                            </w:r>
                            <w:r>
                              <w:rPr>
                                <w:rFonts w:hint="eastAsia" w:ascii="宋体" w:hAnsi="宋体"/>
                                <w:sz w:val="18"/>
                                <w:szCs w:val="18"/>
                              </w:rPr>
                              <w:t>◎</w:t>
                            </w:r>
                            <w:r>
                              <w:rPr>
                                <w:sz w:val="18"/>
                                <w:szCs w:val="18"/>
                              </w:rPr>
                              <w:t>”为</w:t>
                            </w:r>
                            <w:r>
                              <w:rPr>
                                <w:rFonts w:hint="eastAsia" w:hAnsi="宋体"/>
                                <w:sz w:val="18"/>
                                <w:szCs w:val="18"/>
                              </w:rPr>
                              <w:t>有</w:t>
                            </w:r>
                            <w:r>
                              <w:rPr>
                                <w:rFonts w:hAnsi="宋体"/>
                                <w:sz w:val="18"/>
                                <w:szCs w:val="18"/>
                              </w:rPr>
                              <w:t>组织废气监测点</w:t>
                            </w:r>
                          </w:p>
                          <w:p>
                            <w:pPr>
                              <w:rPr>
                                <w:sz w:val="18"/>
                                <w:szCs w:val="18"/>
                              </w:rPr>
                            </w:pPr>
                            <w:r>
                              <w:rPr>
                                <w:sz w:val="18"/>
                                <w:szCs w:val="18"/>
                              </w:rPr>
                              <w:t>“</w:t>
                            </w:r>
                            <w:r>
                              <w:rPr>
                                <w:rFonts w:hint="eastAsia"/>
                                <w:sz w:val="18"/>
                                <w:szCs w:val="18"/>
                              </w:rPr>
                              <w:t>▲</w:t>
                            </w:r>
                            <w:r>
                              <w:rPr>
                                <w:sz w:val="18"/>
                                <w:szCs w:val="18"/>
                              </w:rPr>
                              <w:t>”为噪声监测点位</w:t>
                            </w:r>
                          </w:p>
                        </w:txbxContent>
                      </v:textbox>
                    </v:shape>
                  </w:pict>
                </mc:Fallback>
              </mc:AlternateContent>
            </w:r>
          </w:p>
        </w:tc>
      </w:tr>
    </w:tbl>
    <w:p>
      <w:pPr>
        <w:snapToGrid w:val="0"/>
        <w:spacing w:line="360" w:lineRule="auto"/>
        <w:rPr>
          <w:b/>
          <w:sz w:val="28"/>
        </w:rPr>
        <w:sectPr>
          <w:pgSz w:w="11906" w:h="16838"/>
          <w:pgMar w:top="1077" w:right="1418" w:bottom="471" w:left="1418" w:header="851" w:footer="992" w:gutter="0"/>
          <w:pgNumType w:fmt="decimal"/>
          <w:cols w:space="720" w:num="1"/>
          <w:docGrid w:type="lines" w:linePitch="312" w:charSpace="0"/>
        </w:sectPr>
      </w:pPr>
    </w:p>
    <w:p>
      <w:pPr>
        <w:snapToGrid w:val="0"/>
        <w:spacing w:line="360" w:lineRule="auto"/>
        <w:rPr>
          <w:b/>
          <w:sz w:val="28"/>
        </w:rPr>
      </w:pPr>
      <w:r>
        <w:rPr>
          <w:b/>
          <w:sz w:val="28"/>
        </w:rPr>
        <w:t>表四监测工况及监测结果</w:t>
      </w:r>
    </w:p>
    <w:tbl>
      <w:tblPr>
        <w:tblStyle w:val="20"/>
        <w:tblW w:w="9338" w:type="dxa"/>
        <w:jc w:val="center"/>
        <w:tblInd w:w="0" w:type="dxa"/>
        <w:tblBorders>
          <w:top w:val="single" w:color="auto" w:sz="8" w:space="0"/>
          <w:left w:val="single" w:color="auto" w:sz="8" w:space="0"/>
          <w:bottom w:val="single" w:color="auto" w:sz="8" w:space="0"/>
          <w:right w:val="single" w:color="auto" w:sz="8" w:space="0"/>
          <w:insideH w:val="single" w:color="auto" w:sz="12" w:space="0"/>
          <w:insideV w:val="single" w:color="auto" w:sz="12" w:space="0"/>
        </w:tblBorders>
        <w:tblLayout w:type="fixed"/>
        <w:tblCellMar>
          <w:top w:w="0" w:type="dxa"/>
          <w:left w:w="108" w:type="dxa"/>
          <w:bottom w:w="0" w:type="dxa"/>
          <w:right w:w="108" w:type="dxa"/>
        </w:tblCellMar>
      </w:tblPr>
      <w:tblGrid>
        <w:gridCol w:w="9338"/>
      </w:tblGrid>
      <w:tr>
        <w:tblPrEx>
          <w:tblBorders>
            <w:top w:val="single" w:color="auto" w:sz="8" w:space="0"/>
            <w:left w:val="single" w:color="auto" w:sz="8" w:space="0"/>
            <w:bottom w:val="single" w:color="auto" w:sz="8" w:space="0"/>
            <w:right w:val="single" w:color="auto" w:sz="8" w:space="0"/>
            <w:insideH w:val="single" w:color="auto" w:sz="12" w:space="0"/>
            <w:insideV w:val="single" w:color="auto" w:sz="12" w:space="0"/>
          </w:tblBorders>
          <w:tblLayout w:type="fixed"/>
          <w:tblCellMar>
            <w:top w:w="0" w:type="dxa"/>
            <w:left w:w="108" w:type="dxa"/>
            <w:bottom w:w="0" w:type="dxa"/>
            <w:right w:w="108" w:type="dxa"/>
          </w:tblCellMar>
        </w:tblPrEx>
        <w:trPr>
          <w:trHeight w:val="12618" w:hRule="atLeast"/>
          <w:jc w:val="center"/>
        </w:trPr>
        <w:tc>
          <w:tcPr>
            <w:tcW w:w="9338" w:type="dxa"/>
          </w:tcPr>
          <w:p>
            <w:pPr>
              <w:spacing w:line="360" w:lineRule="auto"/>
              <w:rPr>
                <w:b/>
                <w:sz w:val="24"/>
              </w:rPr>
            </w:pPr>
            <w:r>
              <w:rPr>
                <w:b/>
                <w:sz w:val="24"/>
              </w:rPr>
              <w:t>1、废水监测内容一览表：</w:t>
            </w:r>
          </w:p>
          <w:tbl>
            <w:tblPr>
              <w:tblStyle w:val="20"/>
              <w:tblW w:w="9090"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78"/>
              <w:gridCol w:w="2030"/>
              <w:gridCol w:w="2883"/>
              <w:gridCol w:w="2184"/>
              <w:gridCol w:w="111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tblHeader/>
                <w:jc w:val="center"/>
              </w:trPr>
              <w:tc>
                <w:tcPr>
                  <w:tcW w:w="878" w:type="dxa"/>
                  <w:vAlign w:val="center"/>
                </w:tcPr>
                <w:p>
                  <w:pPr>
                    <w:spacing w:line="360" w:lineRule="auto"/>
                    <w:jc w:val="center"/>
                    <w:rPr>
                      <w:szCs w:val="21"/>
                    </w:rPr>
                  </w:pPr>
                  <w:r>
                    <w:rPr>
                      <w:szCs w:val="21"/>
                    </w:rPr>
                    <w:t>类别</w:t>
                  </w:r>
                </w:p>
              </w:tc>
              <w:tc>
                <w:tcPr>
                  <w:tcW w:w="2030" w:type="dxa"/>
                  <w:vAlign w:val="center"/>
                </w:tcPr>
                <w:p>
                  <w:pPr>
                    <w:spacing w:line="360" w:lineRule="auto"/>
                    <w:jc w:val="center"/>
                    <w:rPr>
                      <w:szCs w:val="21"/>
                    </w:rPr>
                  </w:pPr>
                  <w:r>
                    <w:rPr>
                      <w:szCs w:val="21"/>
                    </w:rPr>
                    <w:t>检测位置</w:t>
                  </w:r>
                </w:p>
              </w:tc>
              <w:tc>
                <w:tcPr>
                  <w:tcW w:w="2883" w:type="dxa"/>
                  <w:vAlign w:val="center"/>
                </w:tcPr>
                <w:p>
                  <w:pPr>
                    <w:spacing w:line="360" w:lineRule="auto"/>
                    <w:jc w:val="center"/>
                    <w:rPr>
                      <w:szCs w:val="21"/>
                    </w:rPr>
                  </w:pPr>
                  <w:r>
                    <w:rPr>
                      <w:szCs w:val="21"/>
                    </w:rPr>
                    <w:t>项目</w:t>
                  </w:r>
                </w:p>
              </w:tc>
              <w:tc>
                <w:tcPr>
                  <w:tcW w:w="2184" w:type="dxa"/>
                  <w:vAlign w:val="center"/>
                </w:tcPr>
                <w:p>
                  <w:pPr>
                    <w:spacing w:line="360" w:lineRule="auto"/>
                    <w:jc w:val="center"/>
                    <w:rPr>
                      <w:szCs w:val="21"/>
                    </w:rPr>
                  </w:pPr>
                  <w:r>
                    <w:rPr>
                      <w:szCs w:val="21"/>
                    </w:rPr>
                    <w:t>采样日期和频次</w:t>
                  </w:r>
                </w:p>
              </w:tc>
              <w:tc>
                <w:tcPr>
                  <w:tcW w:w="1115" w:type="dxa"/>
                  <w:vAlign w:val="center"/>
                </w:tcPr>
                <w:p>
                  <w:pPr>
                    <w:spacing w:line="360" w:lineRule="auto"/>
                    <w:jc w:val="center"/>
                    <w:rPr>
                      <w:szCs w:val="21"/>
                    </w:rPr>
                  </w:pPr>
                  <w:r>
                    <w:rPr>
                      <w:szCs w:val="21"/>
                    </w:rPr>
                    <w:t>采样设备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878" w:type="dxa"/>
                  <w:vAlign w:val="center"/>
                </w:tcPr>
                <w:p>
                  <w:pPr>
                    <w:spacing w:line="360" w:lineRule="auto"/>
                    <w:jc w:val="center"/>
                    <w:rPr>
                      <w:szCs w:val="21"/>
                    </w:rPr>
                  </w:pPr>
                  <w:r>
                    <w:rPr>
                      <w:szCs w:val="21"/>
                    </w:rPr>
                    <w:t>废水</w:t>
                  </w:r>
                </w:p>
              </w:tc>
              <w:tc>
                <w:tcPr>
                  <w:tcW w:w="2030" w:type="dxa"/>
                  <w:vAlign w:val="center"/>
                </w:tcPr>
                <w:p>
                  <w:pPr>
                    <w:jc w:val="center"/>
                    <w:rPr>
                      <w:kern w:val="0"/>
                      <w:szCs w:val="21"/>
                    </w:rPr>
                  </w:pPr>
                  <w:r>
                    <w:rPr>
                      <w:kern w:val="0"/>
                      <w:szCs w:val="21"/>
                    </w:rPr>
                    <w:t>生活污水排放口</w:t>
                  </w:r>
                </w:p>
              </w:tc>
              <w:tc>
                <w:tcPr>
                  <w:tcW w:w="2883" w:type="dxa"/>
                  <w:vAlign w:val="center"/>
                </w:tcPr>
                <w:p>
                  <w:pPr>
                    <w:jc w:val="center"/>
                    <w:rPr>
                      <w:szCs w:val="22"/>
                    </w:rPr>
                  </w:pPr>
                  <w:r>
                    <w:rPr>
                      <w:rFonts w:hint="eastAsia"/>
                      <w:szCs w:val="22"/>
                    </w:rPr>
                    <w:t>pH、SS、CODcr、氨氮、L</w:t>
                  </w:r>
                  <w:r>
                    <w:rPr>
                      <w:szCs w:val="22"/>
                    </w:rPr>
                    <w:t>AS</w:t>
                  </w:r>
                </w:p>
              </w:tc>
              <w:tc>
                <w:tcPr>
                  <w:tcW w:w="2184" w:type="dxa"/>
                  <w:vAlign w:val="center"/>
                </w:tcPr>
                <w:p>
                  <w:pPr>
                    <w:widowControl/>
                    <w:jc w:val="center"/>
                    <w:rPr>
                      <w:kern w:val="0"/>
                      <w:szCs w:val="21"/>
                    </w:rPr>
                  </w:pPr>
                  <w:r>
                    <w:rPr>
                      <w:szCs w:val="21"/>
                    </w:rPr>
                    <w:t>每天4次，连续2天</w:t>
                  </w:r>
                </w:p>
              </w:tc>
              <w:tc>
                <w:tcPr>
                  <w:tcW w:w="1115" w:type="dxa"/>
                  <w:vAlign w:val="center"/>
                </w:tcPr>
                <w:p>
                  <w:pPr>
                    <w:widowControl/>
                    <w:spacing w:line="360" w:lineRule="auto"/>
                    <w:jc w:val="center"/>
                    <w:rPr>
                      <w:kern w:val="0"/>
                      <w:szCs w:val="21"/>
                    </w:rPr>
                  </w:pPr>
                  <w:r>
                    <w:rPr>
                      <w:kern w:val="0"/>
                      <w:szCs w:val="21"/>
                    </w:rPr>
                    <w:t>—</w:t>
                  </w:r>
                </w:p>
              </w:tc>
            </w:tr>
          </w:tbl>
          <w:p>
            <w:pPr>
              <w:spacing w:line="360" w:lineRule="auto"/>
              <w:rPr>
                <w:b/>
                <w:sz w:val="24"/>
              </w:rPr>
            </w:pPr>
          </w:p>
          <w:p>
            <w:pPr>
              <w:spacing w:line="360" w:lineRule="auto"/>
              <w:rPr>
                <w:b/>
                <w:sz w:val="24"/>
              </w:rPr>
            </w:pPr>
            <w:r>
              <w:rPr>
                <w:b/>
                <w:sz w:val="24"/>
              </w:rPr>
              <w:t>2、有组织废气监测内容一览表：</w:t>
            </w:r>
          </w:p>
          <w:tbl>
            <w:tblPr>
              <w:tblStyle w:val="20"/>
              <w:tblW w:w="8420"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47"/>
              <w:gridCol w:w="3780"/>
              <w:gridCol w:w="1843"/>
              <w:gridCol w:w="165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tblHeader/>
                <w:jc w:val="center"/>
              </w:trPr>
              <w:tc>
                <w:tcPr>
                  <w:tcW w:w="1147" w:type="dxa"/>
                  <w:vAlign w:val="center"/>
                </w:tcPr>
                <w:p>
                  <w:pPr>
                    <w:spacing w:line="360" w:lineRule="auto"/>
                    <w:jc w:val="center"/>
                    <w:rPr>
                      <w:szCs w:val="21"/>
                    </w:rPr>
                  </w:pPr>
                  <w:r>
                    <w:rPr>
                      <w:szCs w:val="21"/>
                    </w:rPr>
                    <w:t>类别</w:t>
                  </w:r>
                </w:p>
              </w:tc>
              <w:tc>
                <w:tcPr>
                  <w:tcW w:w="3780" w:type="dxa"/>
                  <w:vAlign w:val="center"/>
                </w:tcPr>
                <w:p>
                  <w:pPr>
                    <w:spacing w:line="360" w:lineRule="auto"/>
                    <w:jc w:val="center"/>
                    <w:rPr>
                      <w:szCs w:val="21"/>
                    </w:rPr>
                  </w:pPr>
                  <w:r>
                    <w:rPr>
                      <w:szCs w:val="21"/>
                    </w:rPr>
                    <w:t>检测点位</w:t>
                  </w:r>
                </w:p>
              </w:tc>
              <w:tc>
                <w:tcPr>
                  <w:tcW w:w="1843" w:type="dxa"/>
                  <w:vAlign w:val="center"/>
                </w:tcPr>
                <w:p>
                  <w:pPr>
                    <w:spacing w:line="360" w:lineRule="auto"/>
                    <w:jc w:val="center"/>
                    <w:rPr>
                      <w:szCs w:val="21"/>
                    </w:rPr>
                  </w:pPr>
                  <w:r>
                    <w:rPr>
                      <w:szCs w:val="21"/>
                    </w:rPr>
                    <w:t>项目</w:t>
                  </w:r>
                </w:p>
              </w:tc>
              <w:tc>
                <w:tcPr>
                  <w:tcW w:w="1650" w:type="dxa"/>
                  <w:vAlign w:val="center"/>
                </w:tcPr>
                <w:p>
                  <w:pPr>
                    <w:spacing w:line="360" w:lineRule="auto"/>
                    <w:jc w:val="center"/>
                    <w:rPr>
                      <w:szCs w:val="21"/>
                    </w:rPr>
                  </w:pPr>
                  <w:r>
                    <w:rPr>
                      <w:szCs w:val="21"/>
                    </w:rPr>
                    <w:t>采样日期和频次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1147" w:type="dxa"/>
                  <w:vMerge w:val="restart"/>
                  <w:vAlign w:val="center"/>
                </w:tcPr>
                <w:p>
                  <w:pPr>
                    <w:jc w:val="center"/>
                    <w:rPr>
                      <w:szCs w:val="21"/>
                    </w:rPr>
                  </w:pPr>
                  <w:r>
                    <w:rPr>
                      <w:szCs w:val="21"/>
                    </w:rPr>
                    <w:t>有组织排放废气</w:t>
                  </w:r>
                </w:p>
              </w:tc>
              <w:tc>
                <w:tcPr>
                  <w:tcW w:w="3780" w:type="dxa"/>
                  <w:vAlign w:val="center"/>
                </w:tcPr>
                <w:p>
                  <w:pPr>
                    <w:jc w:val="center"/>
                    <w:rPr>
                      <w:kern w:val="0"/>
                      <w:szCs w:val="21"/>
                    </w:rPr>
                  </w:pPr>
                  <w:r>
                    <w:rPr>
                      <w:rFonts w:hint="eastAsia"/>
                      <w:kern w:val="0"/>
                      <w:szCs w:val="21"/>
                    </w:rPr>
                    <w:t>胶水工序废气处理前采样口</w:t>
                  </w:r>
                </w:p>
              </w:tc>
              <w:tc>
                <w:tcPr>
                  <w:tcW w:w="1843" w:type="dxa"/>
                  <w:vAlign w:val="center"/>
                </w:tcPr>
                <w:p>
                  <w:pPr>
                    <w:widowControl/>
                    <w:jc w:val="center"/>
                    <w:rPr>
                      <w:kern w:val="0"/>
                      <w:szCs w:val="21"/>
                    </w:rPr>
                  </w:pPr>
                  <w:r>
                    <w:rPr>
                      <w:rFonts w:hint="eastAsia"/>
                      <w:kern w:val="0"/>
                      <w:szCs w:val="21"/>
                    </w:rPr>
                    <w:t>非甲烷总烃</w:t>
                  </w:r>
                </w:p>
              </w:tc>
              <w:tc>
                <w:tcPr>
                  <w:tcW w:w="1650" w:type="dxa"/>
                  <w:vMerge w:val="restart"/>
                  <w:vAlign w:val="center"/>
                </w:tcPr>
                <w:p>
                  <w:pPr>
                    <w:widowControl/>
                    <w:jc w:val="center"/>
                    <w:rPr>
                      <w:szCs w:val="21"/>
                    </w:rPr>
                  </w:pPr>
                  <w:r>
                    <w:rPr>
                      <w:szCs w:val="21"/>
                    </w:rPr>
                    <w:t>每天3次，连续2天</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1147" w:type="dxa"/>
                  <w:vMerge w:val="continue"/>
                  <w:vAlign w:val="center"/>
                </w:tcPr>
                <w:p>
                  <w:pPr>
                    <w:jc w:val="center"/>
                    <w:rPr>
                      <w:szCs w:val="21"/>
                    </w:rPr>
                  </w:pPr>
                </w:p>
              </w:tc>
              <w:tc>
                <w:tcPr>
                  <w:tcW w:w="3780" w:type="dxa"/>
                  <w:vAlign w:val="center"/>
                </w:tcPr>
                <w:p>
                  <w:pPr>
                    <w:jc w:val="center"/>
                    <w:rPr>
                      <w:rFonts w:ascii="宋体" w:hAnsi="宋体" w:cs="宋体"/>
                      <w:kern w:val="0"/>
                      <w:szCs w:val="21"/>
                    </w:rPr>
                  </w:pPr>
                  <w:r>
                    <w:rPr>
                      <w:rFonts w:hint="eastAsia"/>
                      <w:kern w:val="0"/>
                      <w:szCs w:val="21"/>
                    </w:rPr>
                    <w:t>胶水工序废气处理后采样口</w:t>
                  </w:r>
                </w:p>
              </w:tc>
              <w:tc>
                <w:tcPr>
                  <w:tcW w:w="1843" w:type="dxa"/>
                  <w:vAlign w:val="center"/>
                </w:tcPr>
                <w:p>
                  <w:pPr>
                    <w:widowControl/>
                    <w:jc w:val="center"/>
                    <w:rPr>
                      <w:kern w:val="0"/>
                      <w:szCs w:val="21"/>
                    </w:rPr>
                  </w:pPr>
                  <w:r>
                    <w:rPr>
                      <w:rFonts w:hint="eastAsia"/>
                      <w:kern w:val="0"/>
                      <w:szCs w:val="21"/>
                    </w:rPr>
                    <w:t>非甲烷总烃</w:t>
                  </w:r>
                </w:p>
              </w:tc>
              <w:tc>
                <w:tcPr>
                  <w:tcW w:w="1650" w:type="dxa"/>
                  <w:vMerge w:val="continue"/>
                  <w:vAlign w:val="center"/>
                </w:tcPr>
                <w:p>
                  <w:pPr>
                    <w:widowControl/>
                    <w:jc w:val="center"/>
                    <w:rPr>
                      <w:szCs w:val="21"/>
                    </w:rPr>
                  </w:pPr>
                </w:p>
              </w:tc>
            </w:tr>
          </w:tbl>
          <w:p>
            <w:pPr>
              <w:spacing w:line="360" w:lineRule="auto"/>
              <w:rPr>
                <w:b/>
                <w:sz w:val="24"/>
              </w:rPr>
            </w:pPr>
          </w:p>
          <w:p>
            <w:pPr>
              <w:spacing w:line="360" w:lineRule="auto"/>
              <w:rPr>
                <w:b/>
                <w:sz w:val="24"/>
              </w:rPr>
            </w:pPr>
            <w:r>
              <w:rPr>
                <w:b/>
                <w:sz w:val="24"/>
              </w:rPr>
              <w:t>3、噪声监测内容一览表：</w:t>
            </w:r>
          </w:p>
          <w:tbl>
            <w:tblPr>
              <w:tblStyle w:val="20"/>
              <w:tblW w:w="9043"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65"/>
              <w:gridCol w:w="2338"/>
              <w:gridCol w:w="1708"/>
              <w:gridCol w:w="2491"/>
              <w:gridCol w:w="1441"/>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tblHeader/>
                <w:jc w:val="center"/>
              </w:trPr>
              <w:tc>
                <w:tcPr>
                  <w:tcW w:w="1065" w:type="dxa"/>
                  <w:vAlign w:val="center"/>
                </w:tcPr>
                <w:p>
                  <w:pPr>
                    <w:jc w:val="center"/>
                    <w:rPr>
                      <w:szCs w:val="21"/>
                    </w:rPr>
                  </w:pPr>
                  <w:r>
                    <w:rPr>
                      <w:szCs w:val="21"/>
                    </w:rPr>
                    <w:t>类别</w:t>
                  </w:r>
                </w:p>
              </w:tc>
              <w:tc>
                <w:tcPr>
                  <w:tcW w:w="2338" w:type="dxa"/>
                  <w:vAlign w:val="center"/>
                </w:tcPr>
                <w:p>
                  <w:pPr>
                    <w:jc w:val="center"/>
                    <w:rPr>
                      <w:szCs w:val="21"/>
                    </w:rPr>
                  </w:pPr>
                  <w:r>
                    <w:rPr>
                      <w:szCs w:val="21"/>
                    </w:rPr>
                    <w:t>监测点位</w:t>
                  </w:r>
                </w:p>
              </w:tc>
              <w:tc>
                <w:tcPr>
                  <w:tcW w:w="1708" w:type="dxa"/>
                  <w:vAlign w:val="center"/>
                </w:tcPr>
                <w:p>
                  <w:pPr>
                    <w:jc w:val="center"/>
                    <w:rPr>
                      <w:szCs w:val="21"/>
                    </w:rPr>
                  </w:pPr>
                  <w:r>
                    <w:rPr>
                      <w:szCs w:val="21"/>
                    </w:rPr>
                    <w:t>项目</w:t>
                  </w:r>
                </w:p>
              </w:tc>
              <w:tc>
                <w:tcPr>
                  <w:tcW w:w="2491" w:type="dxa"/>
                  <w:vAlign w:val="center"/>
                </w:tcPr>
                <w:p>
                  <w:pPr>
                    <w:jc w:val="center"/>
                    <w:rPr>
                      <w:szCs w:val="21"/>
                    </w:rPr>
                  </w:pPr>
                  <w:r>
                    <w:rPr>
                      <w:szCs w:val="21"/>
                    </w:rPr>
                    <w:t>采样日期和频次</w:t>
                  </w:r>
                </w:p>
              </w:tc>
              <w:tc>
                <w:tcPr>
                  <w:tcW w:w="1441" w:type="dxa"/>
                  <w:vAlign w:val="center"/>
                </w:tcPr>
                <w:p>
                  <w:pPr>
                    <w:jc w:val="center"/>
                    <w:rPr>
                      <w:szCs w:val="21"/>
                    </w:rPr>
                  </w:pPr>
                  <w:r>
                    <w:rPr>
                      <w:szCs w:val="21"/>
                    </w:rPr>
                    <w:t>采样设备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1065" w:type="dxa"/>
                  <w:vMerge w:val="restart"/>
                  <w:vAlign w:val="center"/>
                </w:tcPr>
                <w:p>
                  <w:pPr>
                    <w:jc w:val="center"/>
                    <w:rPr>
                      <w:szCs w:val="21"/>
                    </w:rPr>
                  </w:pPr>
                  <w:r>
                    <w:rPr>
                      <w:szCs w:val="21"/>
                    </w:rPr>
                    <w:t>噪声</w:t>
                  </w:r>
                </w:p>
              </w:tc>
              <w:tc>
                <w:tcPr>
                  <w:tcW w:w="2338" w:type="dxa"/>
                  <w:vAlign w:val="center"/>
                </w:tcPr>
                <w:p>
                  <w:pPr>
                    <w:adjustRightInd w:val="0"/>
                    <w:jc w:val="center"/>
                    <w:rPr>
                      <w:szCs w:val="21"/>
                    </w:rPr>
                  </w:pPr>
                  <w:r>
                    <w:rPr>
                      <w:szCs w:val="21"/>
                    </w:rPr>
                    <w:t>▲1#东侧厂界</w:t>
                  </w:r>
                </w:p>
              </w:tc>
              <w:tc>
                <w:tcPr>
                  <w:tcW w:w="1708" w:type="dxa"/>
                  <w:vMerge w:val="restart"/>
                  <w:vAlign w:val="center"/>
                </w:tcPr>
                <w:p>
                  <w:pPr>
                    <w:widowControl/>
                    <w:jc w:val="center"/>
                    <w:rPr>
                      <w:szCs w:val="21"/>
                    </w:rPr>
                  </w:pPr>
                  <w:r>
                    <w:rPr>
                      <w:szCs w:val="21"/>
                    </w:rPr>
                    <w:t>厂界噪声</w:t>
                  </w:r>
                </w:p>
              </w:tc>
              <w:tc>
                <w:tcPr>
                  <w:tcW w:w="2491" w:type="dxa"/>
                  <w:vMerge w:val="restart"/>
                  <w:vAlign w:val="center"/>
                </w:tcPr>
                <w:p>
                  <w:pPr>
                    <w:widowControl/>
                    <w:jc w:val="center"/>
                    <w:rPr>
                      <w:szCs w:val="21"/>
                    </w:rPr>
                  </w:pPr>
                  <w:r>
                    <w:rPr>
                      <w:szCs w:val="21"/>
                    </w:rPr>
                    <w:t>昼</w:t>
                  </w:r>
                  <w:r>
                    <w:rPr>
                      <w:rFonts w:hint="eastAsia"/>
                      <w:szCs w:val="21"/>
                    </w:rPr>
                    <w:t>间</w:t>
                  </w:r>
                  <w:r>
                    <w:rPr>
                      <w:szCs w:val="21"/>
                    </w:rPr>
                    <w:t>1次，连续2天</w:t>
                  </w:r>
                </w:p>
              </w:tc>
              <w:tc>
                <w:tcPr>
                  <w:tcW w:w="1441" w:type="dxa"/>
                  <w:vMerge w:val="restart"/>
                  <w:vAlign w:val="center"/>
                </w:tcPr>
                <w:p>
                  <w:pPr>
                    <w:widowControl/>
                    <w:jc w:val="center"/>
                    <w:rPr>
                      <w:szCs w:val="21"/>
                    </w:rPr>
                  </w:pPr>
                  <w:r>
                    <w:rPr>
                      <w:szCs w:val="21"/>
                    </w:rPr>
                    <w:t>声级计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1065" w:type="dxa"/>
                  <w:vMerge w:val="continue"/>
                  <w:vAlign w:val="center"/>
                </w:tcPr>
                <w:p>
                  <w:pPr>
                    <w:jc w:val="center"/>
                    <w:rPr>
                      <w:szCs w:val="21"/>
                    </w:rPr>
                  </w:pPr>
                </w:p>
              </w:tc>
              <w:tc>
                <w:tcPr>
                  <w:tcW w:w="2338" w:type="dxa"/>
                  <w:vAlign w:val="center"/>
                </w:tcPr>
                <w:p>
                  <w:pPr>
                    <w:jc w:val="center"/>
                    <w:rPr>
                      <w:szCs w:val="21"/>
                    </w:rPr>
                  </w:pPr>
                  <w:r>
                    <w:rPr>
                      <w:szCs w:val="21"/>
                    </w:rPr>
                    <w:t>▲2#南侧厂界</w:t>
                  </w:r>
                </w:p>
              </w:tc>
              <w:tc>
                <w:tcPr>
                  <w:tcW w:w="1708" w:type="dxa"/>
                  <w:vMerge w:val="continue"/>
                  <w:vAlign w:val="center"/>
                </w:tcPr>
                <w:p>
                  <w:pPr>
                    <w:widowControl/>
                    <w:jc w:val="center"/>
                    <w:rPr>
                      <w:szCs w:val="21"/>
                    </w:rPr>
                  </w:pPr>
                </w:p>
              </w:tc>
              <w:tc>
                <w:tcPr>
                  <w:tcW w:w="2491" w:type="dxa"/>
                  <w:vMerge w:val="continue"/>
                  <w:vAlign w:val="center"/>
                </w:tcPr>
                <w:p>
                  <w:pPr>
                    <w:widowControl/>
                    <w:jc w:val="center"/>
                    <w:rPr>
                      <w:szCs w:val="21"/>
                    </w:rPr>
                  </w:pPr>
                </w:p>
              </w:tc>
              <w:tc>
                <w:tcPr>
                  <w:tcW w:w="1441" w:type="dxa"/>
                  <w:vMerge w:val="continue"/>
                  <w:vAlign w:val="center"/>
                </w:tcPr>
                <w:p>
                  <w:pPr>
                    <w:widowControl/>
                    <w:jc w:val="center"/>
                    <w:rPr>
                      <w:szCs w:val="21"/>
                      <w:highlight w:val="yellow"/>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1065" w:type="dxa"/>
                  <w:vMerge w:val="continue"/>
                  <w:vAlign w:val="center"/>
                </w:tcPr>
                <w:p>
                  <w:pPr>
                    <w:jc w:val="center"/>
                    <w:rPr>
                      <w:szCs w:val="21"/>
                    </w:rPr>
                  </w:pPr>
                </w:p>
              </w:tc>
              <w:tc>
                <w:tcPr>
                  <w:tcW w:w="2338" w:type="dxa"/>
                  <w:vAlign w:val="center"/>
                </w:tcPr>
                <w:p>
                  <w:pPr>
                    <w:jc w:val="center"/>
                    <w:rPr>
                      <w:szCs w:val="21"/>
                    </w:rPr>
                  </w:pPr>
                  <w:r>
                    <w:rPr>
                      <w:szCs w:val="21"/>
                    </w:rPr>
                    <w:t>▲3#西侧厂界</w:t>
                  </w:r>
                </w:p>
              </w:tc>
              <w:tc>
                <w:tcPr>
                  <w:tcW w:w="1708" w:type="dxa"/>
                  <w:vMerge w:val="continue"/>
                  <w:vAlign w:val="center"/>
                </w:tcPr>
                <w:p>
                  <w:pPr>
                    <w:widowControl/>
                    <w:jc w:val="center"/>
                    <w:rPr>
                      <w:szCs w:val="21"/>
                    </w:rPr>
                  </w:pPr>
                </w:p>
              </w:tc>
              <w:tc>
                <w:tcPr>
                  <w:tcW w:w="2491" w:type="dxa"/>
                  <w:vMerge w:val="continue"/>
                  <w:vAlign w:val="center"/>
                </w:tcPr>
                <w:p>
                  <w:pPr>
                    <w:widowControl/>
                    <w:jc w:val="center"/>
                    <w:rPr>
                      <w:szCs w:val="21"/>
                    </w:rPr>
                  </w:pPr>
                </w:p>
              </w:tc>
              <w:tc>
                <w:tcPr>
                  <w:tcW w:w="1441" w:type="dxa"/>
                  <w:vMerge w:val="continue"/>
                  <w:vAlign w:val="center"/>
                </w:tcPr>
                <w:p>
                  <w:pPr>
                    <w:widowControl/>
                    <w:jc w:val="center"/>
                    <w:rPr>
                      <w:szCs w:val="21"/>
                      <w:highlight w:val="yellow"/>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1065" w:type="dxa"/>
                  <w:vMerge w:val="continue"/>
                  <w:vAlign w:val="center"/>
                </w:tcPr>
                <w:p>
                  <w:pPr>
                    <w:jc w:val="center"/>
                    <w:rPr>
                      <w:szCs w:val="21"/>
                    </w:rPr>
                  </w:pPr>
                </w:p>
              </w:tc>
              <w:tc>
                <w:tcPr>
                  <w:tcW w:w="2338" w:type="dxa"/>
                  <w:vAlign w:val="center"/>
                </w:tcPr>
                <w:p>
                  <w:pPr>
                    <w:jc w:val="center"/>
                    <w:rPr>
                      <w:szCs w:val="21"/>
                    </w:rPr>
                  </w:pPr>
                  <w:r>
                    <w:rPr>
                      <w:szCs w:val="21"/>
                    </w:rPr>
                    <w:t>▲4#北侧厂界</w:t>
                  </w:r>
                </w:p>
              </w:tc>
              <w:tc>
                <w:tcPr>
                  <w:tcW w:w="1708" w:type="dxa"/>
                  <w:vMerge w:val="continue"/>
                  <w:vAlign w:val="center"/>
                </w:tcPr>
                <w:p>
                  <w:pPr>
                    <w:widowControl/>
                    <w:jc w:val="center"/>
                    <w:rPr>
                      <w:szCs w:val="21"/>
                    </w:rPr>
                  </w:pPr>
                </w:p>
              </w:tc>
              <w:tc>
                <w:tcPr>
                  <w:tcW w:w="2491" w:type="dxa"/>
                  <w:vMerge w:val="continue"/>
                  <w:vAlign w:val="center"/>
                </w:tcPr>
                <w:p>
                  <w:pPr>
                    <w:widowControl/>
                    <w:jc w:val="center"/>
                    <w:rPr>
                      <w:szCs w:val="21"/>
                    </w:rPr>
                  </w:pPr>
                </w:p>
              </w:tc>
              <w:tc>
                <w:tcPr>
                  <w:tcW w:w="1441" w:type="dxa"/>
                  <w:vMerge w:val="continue"/>
                  <w:vAlign w:val="center"/>
                </w:tcPr>
                <w:p>
                  <w:pPr>
                    <w:widowControl/>
                    <w:jc w:val="center"/>
                    <w:rPr>
                      <w:szCs w:val="21"/>
                      <w:highlight w:val="yellow"/>
                    </w:rPr>
                  </w:pPr>
                </w:p>
              </w:tc>
            </w:tr>
          </w:tbl>
          <w:p>
            <w:pPr>
              <w:spacing w:line="360" w:lineRule="auto"/>
              <w:rPr>
                <w:sz w:val="28"/>
              </w:rPr>
            </w:pPr>
          </w:p>
          <w:p>
            <w:pPr>
              <w:spacing w:line="360" w:lineRule="auto"/>
              <w:rPr>
                <w:b/>
                <w:sz w:val="24"/>
              </w:rPr>
            </w:pPr>
            <w:r>
              <w:rPr>
                <w:b/>
                <w:sz w:val="24"/>
              </w:rPr>
              <w:t>4、监测工况：</w:t>
            </w:r>
          </w:p>
          <w:p>
            <w:pPr>
              <w:spacing w:line="360" w:lineRule="auto"/>
              <w:ind w:firstLine="480" w:firstLineChars="200"/>
              <w:jc w:val="left"/>
              <w:rPr>
                <w:b/>
                <w:sz w:val="24"/>
              </w:rPr>
            </w:pPr>
            <w:r>
              <w:rPr>
                <w:sz w:val="24"/>
              </w:rPr>
              <w:t>监测期间，项目建设内容及其配套污染物治理设施均正常运行，达到设计生产能力的100%，满足75%以上的验收监测工况要求。</w:t>
            </w:r>
          </w:p>
          <w:tbl>
            <w:tblPr>
              <w:tblStyle w:val="20"/>
              <w:tblW w:w="897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843"/>
              <w:gridCol w:w="1508"/>
              <w:gridCol w:w="1418"/>
              <w:gridCol w:w="1418"/>
              <w:gridCol w:w="12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blHeader/>
                <w:jc w:val="center"/>
              </w:trPr>
              <w:tc>
                <w:tcPr>
                  <w:tcW w:w="1510"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监测日期</w:t>
                  </w:r>
                </w:p>
              </w:tc>
              <w:tc>
                <w:tcPr>
                  <w:tcW w:w="1843"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产品名称</w:t>
                  </w:r>
                </w:p>
              </w:tc>
              <w:tc>
                <w:tcPr>
                  <w:tcW w:w="1508"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设计原料消耗量(吨)</w:t>
                  </w:r>
                </w:p>
              </w:tc>
              <w:tc>
                <w:tcPr>
                  <w:tcW w:w="1418" w:type="dxa"/>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设计日原料消耗量(吨)</w:t>
                  </w:r>
                </w:p>
              </w:tc>
              <w:tc>
                <w:tcPr>
                  <w:tcW w:w="1418"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实际日产量</w:t>
                  </w:r>
                </w:p>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(吨)</w:t>
                  </w:r>
                </w:p>
              </w:tc>
              <w:tc>
                <w:tcPr>
                  <w:tcW w:w="1275"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生产负荷(%)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1510" w:type="dxa"/>
                  <w:vMerge w:val="restart"/>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2017.5.31</w:t>
                  </w:r>
                </w:p>
              </w:tc>
              <w:tc>
                <w:tcPr>
                  <w:tcW w:w="1843" w:type="dxa"/>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布料消耗</w:t>
                  </w:r>
                </w:p>
              </w:tc>
              <w:tc>
                <w:tcPr>
                  <w:tcW w:w="1508" w:type="dxa"/>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520</w:t>
                  </w:r>
                </w:p>
              </w:tc>
              <w:tc>
                <w:tcPr>
                  <w:tcW w:w="1418" w:type="dxa"/>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1.58</w:t>
                  </w:r>
                </w:p>
              </w:tc>
              <w:tc>
                <w:tcPr>
                  <w:tcW w:w="1418" w:type="dxa"/>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1.58</w:t>
                  </w:r>
                </w:p>
              </w:tc>
              <w:tc>
                <w:tcPr>
                  <w:tcW w:w="1275" w:type="dxa"/>
                  <w:vMerge w:val="restart"/>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510" w:type="dxa"/>
                  <w:vMerge w:val="continue"/>
                  <w:vAlign w:val="center"/>
                </w:tcPr>
                <w:p>
                  <w:pPr>
                    <w:spacing w:line="276" w:lineRule="auto"/>
                    <w:jc w:val="center"/>
                    <w:rPr>
                      <w:rFonts w:hint="default" w:ascii="Times New Roman" w:hAnsi="Times New Roman" w:cs="Times New Roman"/>
                      <w:szCs w:val="21"/>
                    </w:rPr>
                  </w:pPr>
                </w:p>
              </w:tc>
              <w:tc>
                <w:tcPr>
                  <w:tcW w:w="1843" w:type="dxa"/>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纸品消耗</w:t>
                  </w:r>
                </w:p>
              </w:tc>
              <w:tc>
                <w:tcPr>
                  <w:tcW w:w="1508" w:type="dxa"/>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70</w:t>
                  </w:r>
                </w:p>
              </w:tc>
              <w:tc>
                <w:tcPr>
                  <w:tcW w:w="1418" w:type="dxa"/>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0.21</w:t>
                  </w:r>
                </w:p>
              </w:tc>
              <w:tc>
                <w:tcPr>
                  <w:tcW w:w="1418" w:type="dxa"/>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0.21</w:t>
                  </w:r>
                </w:p>
              </w:tc>
              <w:tc>
                <w:tcPr>
                  <w:tcW w:w="1275" w:type="dxa"/>
                  <w:vMerge w:val="continue"/>
                  <w:vAlign w:val="center"/>
                </w:tcPr>
                <w:p>
                  <w:pPr>
                    <w:spacing w:line="276" w:lineRule="auto"/>
                    <w:jc w:val="center"/>
                    <w:rPr>
                      <w:rFonts w:hint="default" w:ascii="Times New Roman" w:hAnsi="Times New Roman" w:cs="Times New Roman"/>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510" w:type="dxa"/>
                  <w:vMerge w:val="restart"/>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2017.6.1</w:t>
                  </w:r>
                </w:p>
              </w:tc>
              <w:tc>
                <w:tcPr>
                  <w:tcW w:w="1843" w:type="dxa"/>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布料消耗</w:t>
                  </w:r>
                </w:p>
              </w:tc>
              <w:tc>
                <w:tcPr>
                  <w:tcW w:w="1508" w:type="dxa"/>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520</w:t>
                  </w:r>
                </w:p>
              </w:tc>
              <w:tc>
                <w:tcPr>
                  <w:tcW w:w="1418" w:type="dxa"/>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1.58</w:t>
                  </w:r>
                </w:p>
              </w:tc>
              <w:tc>
                <w:tcPr>
                  <w:tcW w:w="1418" w:type="dxa"/>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1.58</w:t>
                  </w:r>
                </w:p>
              </w:tc>
              <w:tc>
                <w:tcPr>
                  <w:tcW w:w="1275" w:type="dxa"/>
                  <w:vMerge w:val="restart"/>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510" w:type="dxa"/>
                  <w:vMerge w:val="continue"/>
                  <w:vAlign w:val="center"/>
                </w:tcPr>
                <w:p>
                  <w:pPr>
                    <w:spacing w:line="276" w:lineRule="auto"/>
                    <w:jc w:val="center"/>
                    <w:rPr>
                      <w:rFonts w:hint="default" w:ascii="Times New Roman" w:hAnsi="Times New Roman" w:cs="Times New Roman"/>
                      <w:szCs w:val="21"/>
                    </w:rPr>
                  </w:pPr>
                </w:p>
              </w:tc>
              <w:tc>
                <w:tcPr>
                  <w:tcW w:w="1843" w:type="dxa"/>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纸品消耗</w:t>
                  </w:r>
                </w:p>
              </w:tc>
              <w:tc>
                <w:tcPr>
                  <w:tcW w:w="1508" w:type="dxa"/>
                  <w:vAlign w:val="center"/>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70</w:t>
                  </w:r>
                </w:p>
              </w:tc>
              <w:tc>
                <w:tcPr>
                  <w:tcW w:w="1418" w:type="dxa"/>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0.21</w:t>
                  </w:r>
                </w:p>
              </w:tc>
              <w:tc>
                <w:tcPr>
                  <w:tcW w:w="1418" w:type="dxa"/>
                </w:tcPr>
                <w:p>
                  <w:pPr>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0.21</w:t>
                  </w:r>
                </w:p>
              </w:tc>
              <w:tc>
                <w:tcPr>
                  <w:tcW w:w="1275" w:type="dxa"/>
                  <w:vMerge w:val="continue"/>
                  <w:vAlign w:val="center"/>
                </w:tcPr>
                <w:p>
                  <w:pPr>
                    <w:spacing w:line="276" w:lineRule="auto"/>
                    <w:jc w:val="center"/>
                    <w:rPr>
                      <w:rFonts w:hint="default" w:ascii="Times New Roman" w:hAnsi="Times New Roman" w:cs="Times New Roman"/>
                      <w:kern w:val="0"/>
                      <w:szCs w:val="21"/>
                    </w:rPr>
                  </w:pPr>
                </w:p>
              </w:tc>
            </w:tr>
          </w:tbl>
          <w:p>
            <w:pPr>
              <w:spacing w:line="360" w:lineRule="auto"/>
              <w:rPr>
                <w:sz w:val="28"/>
              </w:rPr>
            </w:pPr>
          </w:p>
        </w:tc>
      </w:tr>
      <w:bookmarkEnd w:id="7"/>
    </w:tbl>
    <w:p>
      <w:pPr>
        <w:spacing w:line="240" w:lineRule="atLeast"/>
        <w:rPr>
          <w:b/>
          <w:sz w:val="28"/>
        </w:rPr>
      </w:pPr>
      <w:bookmarkStart w:id="8" w:name="_Toc389032664"/>
    </w:p>
    <w:tbl>
      <w:tblPr>
        <w:tblStyle w:val="20"/>
        <w:tblpPr w:leftFromText="180" w:rightFromText="180" w:vertAnchor="text" w:horzAnchor="margin" w:tblpY="680"/>
        <w:tblW w:w="9323" w:type="dxa"/>
        <w:tblInd w:w="0" w:type="dxa"/>
        <w:tblBorders>
          <w:top w:val="single" w:color="auto" w:sz="8" w:space="0"/>
          <w:left w:val="single" w:color="auto" w:sz="8" w:space="0"/>
          <w:bottom w:val="single" w:color="auto" w:sz="8" w:space="0"/>
          <w:right w:val="single" w:color="auto" w:sz="8" w:space="0"/>
          <w:insideH w:val="single" w:color="auto" w:sz="12" w:space="0"/>
          <w:insideV w:val="single" w:color="auto" w:sz="12" w:space="0"/>
        </w:tblBorders>
        <w:tblLayout w:type="fixed"/>
        <w:tblCellMar>
          <w:top w:w="0" w:type="dxa"/>
          <w:left w:w="108" w:type="dxa"/>
          <w:bottom w:w="0" w:type="dxa"/>
          <w:right w:w="108" w:type="dxa"/>
        </w:tblCellMar>
      </w:tblPr>
      <w:tblGrid>
        <w:gridCol w:w="9323"/>
      </w:tblGrid>
      <w:tr>
        <w:tblPrEx>
          <w:tblBorders>
            <w:top w:val="single" w:color="auto" w:sz="8" w:space="0"/>
            <w:left w:val="single" w:color="auto" w:sz="8" w:space="0"/>
            <w:bottom w:val="single" w:color="auto" w:sz="8" w:space="0"/>
            <w:right w:val="single" w:color="auto" w:sz="8" w:space="0"/>
            <w:insideH w:val="single" w:color="auto" w:sz="12" w:space="0"/>
            <w:insideV w:val="single" w:color="auto" w:sz="12" w:space="0"/>
          </w:tblBorders>
          <w:tblLayout w:type="fixed"/>
          <w:tblCellMar>
            <w:top w:w="0" w:type="dxa"/>
            <w:left w:w="108" w:type="dxa"/>
            <w:bottom w:w="0" w:type="dxa"/>
            <w:right w:w="108" w:type="dxa"/>
          </w:tblCellMar>
        </w:tblPrEx>
        <w:trPr>
          <w:trHeight w:val="13453" w:hRule="atLeast"/>
        </w:trPr>
        <w:tc>
          <w:tcPr>
            <w:tcW w:w="9323" w:type="dxa"/>
          </w:tcPr>
          <w:p>
            <w:pPr>
              <w:spacing w:line="360" w:lineRule="auto"/>
              <w:rPr>
                <w:b/>
                <w:sz w:val="24"/>
              </w:rPr>
            </w:pPr>
            <w:r>
              <w:rPr>
                <w:b/>
                <w:sz w:val="24"/>
              </w:rPr>
              <w:t>5、监测方法、使用仪器及检出限一览表：</w:t>
            </w:r>
          </w:p>
          <w:tbl>
            <w:tblPr>
              <w:tblStyle w:val="20"/>
              <w:tblW w:w="8832"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22"/>
              <w:gridCol w:w="1462"/>
              <w:gridCol w:w="3686"/>
              <w:gridCol w:w="1559"/>
              <w:gridCol w:w="130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tblHeader/>
                <w:jc w:val="center"/>
              </w:trPr>
              <w:tc>
                <w:tcPr>
                  <w:tcW w:w="822" w:type="dxa"/>
                  <w:vAlign w:val="center"/>
                </w:tcPr>
                <w:p>
                  <w:pPr>
                    <w:jc w:val="center"/>
                    <w:rPr>
                      <w:szCs w:val="21"/>
                    </w:rPr>
                  </w:pPr>
                  <w:r>
                    <w:rPr>
                      <w:szCs w:val="21"/>
                    </w:rPr>
                    <w:t>类别</w:t>
                  </w:r>
                </w:p>
              </w:tc>
              <w:tc>
                <w:tcPr>
                  <w:tcW w:w="1462" w:type="dxa"/>
                  <w:vAlign w:val="center"/>
                </w:tcPr>
                <w:p>
                  <w:pPr>
                    <w:jc w:val="center"/>
                    <w:rPr>
                      <w:szCs w:val="21"/>
                    </w:rPr>
                  </w:pPr>
                  <w:r>
                    <w:rPr>
                      <w:szCs w:val="21"/>
                    </w:rPr>
                    <w:t>项目</w:t>
                  </w:r>
                </w:p>
              </w:tc>
              <w:tc>
                <w:tcPr>
                  <w:tcW w:w="3686" w:type="dxa"/>
                  <w:vAlign w:val="center"/>
                </w:tcPr>
                <w:p>
                  <w:pPr>
                    <w:jc w:val="center"/>
                    <w:rPr>
                      <w:szCs w:val="21"/>
                    </w:rPr>
                  </w:pPr>
                  <w:r>
                    <w:rPr>
                      <w:szCs w:val="21"/>
                    </w:rPr>
                    <w:t>检测方法</w:t>
                  </w:r>
                </w:p>
              </w:tc>
              <w:tc>
                <w:tcPr>
                  <w:tcW w:w="1559" w:type="dxa"/>
                  <w:vAlign w:val="center"/>
                </w:tcPr>
                <w:p>
                  <w:pPr>
                    <w:jc w:val="center"/>
                    <w:rPr>
                      <w:szCs w:val="21"/>
                    </w:rPr>
                  </w:pPr>
                  <w:r>
                    <w:rPr>
                      <w:szCs w:val="21"/>
                    </w:rPr>
                    <w:t>使用仪器</w:t>
                  </w:r>
                </w:p>
              </w:tc>
              <w:tc>
                <w:tcPr>
                  <w:tcW w:w="1303" w:type="dxa"/>
                  <w:vAlign w:val="center"/>
                </w:tcPr>
                <w:p>
                  <w:pPr>
                    <w:jc w:val="center"/>
                    <w:rPr>
                      <w:szCs w:val="21"/>
                    </w:rPr>
                  </w:pPr>
                  <w:r>
                    <w:rPr>
                      <w:szCs w:val="21"/>
                    </w:rPr>
                    <w:t>检出限</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tblHeader/>
                <w:jc w:val="center"/>
              </w:trPr>
              <w:tc>
                <w:tcPr>
                  <w:tcW w:w="822" w:type="dxa"/>
                  <w:vMerge w:val="restart"/>
                  <w:vAlign w:val="center"/>
                </w:tcPr>
                <w:p>
                  <w:pPr>
                    <w:jc w:val="center"/>
                    <w:rPr>
                      <w:szCs w:val="21"/>
                    </w:rPr>
                  </w:pPr>
                  <w:r>
                    <w:rPr>
                      <w:szCs w:val="21"/>
                    </w:rPr>
                    <w:t>废水</w:t>
                  </w:r>
                </w:p>
              </w:tc>
              <w:tc>
                <w:tcPr>
                  <w:tcW w:w="1462" w:type="dxa"/>
                  <w:vAlign w:val="center"/>
                </w:tcPr>
                <w:p>
                  <w:pPr>
                    <w:widowControl/>
                    <w:jc w:val="center"/>
                    <w:rPr>
                      <w:szCs w:val="21"/>
                    </w:rPr>
                  </w:pPr>
                  <w:r>
                    <w:rPr>
                      <w:szCs w:val="21"/>
                    </w:rPr>
                    <w:t>pH</w:t>
                  </w:r>
                </w:p>
              </w:tc>
              <w:tc>
                <w:tcPr>
                  <w:tcW w:w="3686" w:type="dxa"/>
                  <w:vAlign w:val="center"/>
                </w:tcPr>
                <w:p>
                  <w:pPr>
                    <w:snapToGrid w:val="0"/>
                    <w:jc w:val="center"/>
                    <w:rPr>
                      <w:szCs w:val="21"/>
                    </w:rPr>
                  </w:pPr>
                  <w:r>
                    <w:rPr>
                      <w:szCs w:val="21"/>
                    </w:rPr>
                    <w:t>水质 pH值的测定 玻璃电极法</w:t>
                  </w:r>
                </w:p>
                <w:p>
                  <w:pPr>
                    <w:jc w:val="center"/>
                    <w:rPr>
                      <w:szCs w:val="21"/>
                    </w:rPr>
                  </w:pPr>
                  <w:r>
                    <w:rPr>
                      <w:szCs w:val="21"/>
                    </w:rPr>
                    <w:t>GB/T 6920-1986</w:t>
                  </w:r>
                </w:p>
              </w:tc>
              <w:tc>
                <w:tcPr>
                  <w:tcW w:w="1559" w:type="dxa"/>
                  <w:vAlign w:val="center"/>
                </w:tcPr>
                <w:p>
                  <w:pPr>
                    <w:jc w:val="center"/>
                    <w:rPr>
                      <w:szCs w:val="21"/>
                    </w:rPr>
                  </w:pPr>
                  <w:r>
                    <w:rPr>
                      <w:rFonts w:hint="eastAsia"/>
                      <w:szCs w:val="21"/>
                    </w:rPr>
                    <w:t>pH计</w:t>
                  </w:r>
                </w:p>
                <w:p>
                  <w:pPr>
                    <w:jc w:val="center"/>
                    <w:rPr>
                      <w:szCs w:val="21"/>
                    </w:rPr>
                  </w:pPr>
                  <w:r>
                    <w:rPr>
                      <w:szCs w:val="21"/>
                    </w:rPr>
                    <w:t>Phs</w:t>
                  </w:r>
                  <w:r>
                    <w:rPr>
                      <w:rFonts w:hint="eastAsia"/>
                      <w:szCs w:val="21"/>
                    </w:rPr>
                    <w:t>-3C</w:t>
                  </w:r>
                </w:p>
              </w:tc>
              <w:tc>
                <w:tcPr>
                  <w:tcW w:w="1303" w:type="dxa"/>
                  <w:vAlign w:val="center"/>
                </w:tcPr>
                <w:p>
                  <w:pPr>
                    <w:jc w:val="center"/>
                    <w:rPr>
                      <w:szCs w:val="21"/>
                    </w:rPr>
                  </w:pPr>
                  <w:r>
                    <w:rPr>
                      <w:rFonts w:hint="eastAsia"/>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tblHeader/>
                <w:jc w:val="center"/>
              </w:trPr>
              <w:tc>
                <w:tcPr>
                  <w:tcW w:w="822" w:type="dxa"/>
                  <w:vMerge w:val="continue"/>
                  <w:vAlign w:val="center"/>
                </w:tcPr>
                <w:p>
                  <w:pPr>
                    <w:jc w:val="center"/>
                    <w:rPr>
                      <w:szCs w:val="21"/>
                    </w:rPr>
                  </w:pPr>
                </w:p>
              </w:tc>
              <w:tc>
                <w:tcPr>
                  <w:tcW w:w="1462" w:type="dxa"/>
                  <w:vAlign w:val="center"/>
                </w:tcPr>
                <w:p>
                  <w:pPr>
                    <w:jc w:val="center"/>
                    <w:rPr>
                      <w:szCs w:val="21"/>
                    </w:rPr>
                  </w:pPr>
                  <w:r>
                    <w:rPr>
                      <w:szCs w:val="21"/>
                    </w:rPr>
                    <w:t>悬浮物</w:t>
                  </w:r>
                </w:p>
              </w:tc>
              <w:tc>
                <w:tcPr>
                  <w:tcW w:w="3686" w:type="dxa"/>
                  <w:vAlign w:val="center"/>
                </w:tcPr>
                <w:p>
                  <w:pPr>
                    <w:snapToGrid w:val="0"/>
                    <w:jc w:val="center"/>
                    <w:rPr>
                      <w:szCs w:val="21"/>
                    </w:rPr>
                  </w:pPr>
                  <w:r>
                    <w:rPr>
                      <w:szCs w:val="21"/>
                    </w:rPr>
                    <w:t>水质 悬浮物的测定 重量法</w:t>
                  </w:r>
                </w:p>
                <w:p>
                  <w:pPr>
                    <w:jc w:val="center"/>
                    <w:rPr>
                      <w:szCs w:val="21"/>
                    </w:rPr>
                  </w:pPr>
                  <w:r>
                    <w:rPr>
                      <w:szCs w:val="21"/>
                    </w:rPr>
                    <w:t>GB/T 11901-1989</w:t>
                  </w:r>
                </w:p>
              </w:tc>
              <w:tc>
                <w:tcPr>
                  <w:tcW w:w="1559" w:type="dxa"/>
                  <w:vAlign w:val="center"/>
                </w:tcPr>
                <w:p>
                  <w:pPr>
                    <w:jc w:val="center"/>
                    <w:rPr>
                      <w:szCs w:val="21"/>
                    </w:rPr>
                  </w:pPr>
                  <w:r>
                    <w:rPr>
                      <w:rFonts w:hint="eastAsia"/>
                      <w:szCs w:val="21"/>
                    </w:rPr>
                    <w:t>电子天平</w:t>
                  </w:r>
                </w:p>
                <w:p>
                  <w:pPr>
                    <w:jc w:val="center"/>
                    <w:rPr>
                      <w:szCs w:val="21"/>
                    </w:rPr>
                  </w:pPr>
                  <w:r>
                    <w:rPr>
                      <w:rFonts w:hint="eastAsia"/>
                      <w:szCs w:val="21"/>
                    </w:rPr>
                    <w:t>XS105DU</w:t>
                  </w:r>
                </w:p>
              </w:tc>
              <w:tc>
                <w:tcPr>
                  <w:tcW w:w="1303" w:type="dxa"/>
                  <w:vAlign w:val="center"/>
                </w:tcPr>
                <w:p>
                  <w:pPr>
                    <w:jc w:val="center"/>
                    <w:rPr>
                      <w:szCs w:val="21"/>
                    </w:rPr>
                  </w:pPr>
                  <w:r>
                    <w:rPr>
                      <w:rFonts w:hint="eastAsia"/>
                      <w:szCs w:val="21"/>
                    </w:rPr>
                    <w:t>4mg/L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tblHeader/>
                <w:jc w:val="center"/>
              </w:trPr>
              <w:tc>
                <w:tcPr>
                  <w:tcW w:w="822" w:type="dxa"/>
                  <w:vMerge w:val="continue"/>
                  <w:vAlign w:val="center"/>
                </w:tcPr>
                <w:p>
                  <w:pPr>
                    <w:jc w:val="center"/>
                    <w:rPr>
                      <w:szCs w:val="21"/>
                    </w:rPr>
                  </w:pPr>
                </w:p>
              </w:tc>
              <w:tc>
                <w:tcPr>
                  <w:tcW w:w="1462" w:type="dxa"/>
                  <w:vAlign w:val="center"/>
                </w:tcPr>
                <w:p>
                  <w:pPr>
                    <w:jc w:val="center"/>
                    <w:rPr>
                      <w:szCs w:val="21"/>
                    </w:rPr>
                  </w:pPr>
                  <w:r>
                    <w:rPr>
                      <w:szCs w:val="21"/>
                    </w:rPr>
                    <w:t>化学需氧量</w:t>
                  </w:r>
                </w:p>
              </w:tc>
              <w:tc>
                <w:tcPr>
                  <w:tcW w:w="3686" w:type="dxa"/>
                  <w:vAlign w:val="center"/>
                </w:tcPr>
                <w:p>
                  <w:pPr>
                    <w:snapToGrid w:val="0"/>
                    <w:jc w:val="center"/>
                    <w:rPr>
                      <w:szCs w:val="21"/>
                    </w:rPr>
                  </w:pPr>
                  <w:r>
                    <w:rPr>
                      <w:szCs w:val="21"/>
                    </w:rPr>
                    <w:t>快速密闭催化消解法</w:t>
                  </w:r>
                  <w:r>
                    <w:rPr>
                      <w:rFonts w:hint="eastAsia"/>
                      <w:szCs w:val="21"/>
                    </w:rPr>
                    <w:t xml:space="preserve"> </w:t>
                  </w:r>
                  <w:r>
                    <w:rPr>
                      <w:szCs w:val="21"/>
                    </w:rPr>
                    <w:t>《水和废水监测分析方法》</w:t>
                  </w:r>
                  <w:r>
                    <w:rPr>
                      <w:rFonts w:hint="eastAsia"/>
                      <w:szCs w:val="21"/>
                    </w:rPr>
                    <w:t xml:space="preserve"> </w:t>
                  </w:r>
                  <w:r>
                    <w:rPr>
                      <w:szCs w:val="21"/>
                    </w:rPr>
                    <w:t>（国家保护总局2002年 第四版）</w:t>
                  </w:r>
                  <w:r>
                    <w:rPr>
                      <w:rFonts w:hint="eastAsia"/>
                      <w:szCs w:val="21"/>
                    </w:rPr>
                    <w:t xml:space="preserve"> </w:t>
                  </w:r>
                  <w:r>
                    <w:rPr>
                      <w:szCs w:val="21"/>
                    </w:rPr>
                    <w:t>增补版</w:t>
                  </w:r>
                  <w:r>
                    <w:rPr>
                      <w:rFonts w:hint="eastAsia"/>
                      <w:szCs w:val="21"/>
                    </w:rPr>
                    <w:t xml:space="preserve"> </w:t>
                  </w:r>
                  <w:r>
                    <w:rPr>
                      <w:rFonts w:hint="eastAsia" w:ascii="宋体" w:hAnsi="宋体"/>
                      <w:iCs/>
                      <w:szCs w:val="21"/>
                    </w:rPr>
                    <w:t>第三篇，第三章，二（三）</w:t>
                  </w:r>
                </w:p>
              </w:tc>
              <w:tc>
                <w:tcPr>
                  <w:tcW w:w="1559" w:type="dxa"/>
                  <w:vAlign w:val="center"/>
                </w:tcPr>
                <w:p>
                  <w:pPr>
                    <w:jc w:val="center"/>
                    <w:rPr>
                      <w:szCs w:val="21"/>
                    </w:rPr>
                  </w:pPr>
                  <w:r>
                    <w:rPr>
                      <w:rFonts w:hint="eastAsia"/>
                      <w:szCs w:val="21"/>
                    </w:rPr>
                    <w:t>全自动进样滴定系统</w:t>
                  </w:r>
                </w:p>
                <w:p>
                  <w:pPr>
                    <w:jc w:val="center"/>
                    <w:rPr>
                      <w:szCs w:val="21"/>
                    </w:rPr>
                  </w:pPr>
                  <w:r>
                    <w:rPr>
                      <w:rFonts w:hint="eastAsia"/>
                      <w:szCs w:val="21"/>
                    </w:rPr>
                    <w:t>855 Titrando</w:t>
                  </w:r>
                </w:p>
              </w:tc>
              <w:tc>
                <w:tcPr>
                  <w:tcW w:w="1303" w:type="dxa"/>
                  <w:vAlign w:val="center"/>
                </w:tcPr>
                <w:p>
                  <w:pPr>
                    <w:jc w:val="center"/>
                    <w:rPr>
                      <w:szCs w:val="21"/>
                    </w:rPr>
                  </w:pPr>
                  <w:r>
                    <w:rPr>
                      <w:rFonts w:hint="eastAsia"/>
                      <w:szCs w:val="21"/>
                    </w:rPr>
                    <w:t>5mg/L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tblHeader/>
                <w:jc w:val="center"/>
              </w:trPr>
              <w:tc>
                <w:tcPr>
                  <w:tcW w:w="822" w:type="dxa"/>
                  <w:vMerge w:val="continue"/>
                  <w:vAlign w:val="center"/>
                </w:tcPr>
                <w:p>
                  <w:pPr>
                    <w:jc w:val="center"/>
                    <w:rPr>
                      <w:szCs w:val="21"/>
                    </w:rPr>
                  </w:pPr>
                </w:p>
              </w:tc>
              <w:tc>
                <w:tcPr>
                  <w:tcW w:w="1462" w:type="dxa"/>
                  <w:vAlign w:val="center"/>
                </w:tcPr>
                <w:p>
                  <w:pPr>
                    <w:jc w:val="center"/>
                    <w:rPr>
                      <w:szCs w:val="21"/>
                    </w:rPr>
                  </w:pPr>
                  <w:r>
                    <w:rPr>
                      <w:szCs w:val="21"/>
                    </w:rPr>
                    <w:t>氨氮</w:t>
                  </w:r>
                </w:p>
              </w:tc>
              <w:tc>
                <w:tcPr>
                  <w:tcW w:w="3686" w:type="dxa"/>
                  <w:vAlign w:val="center"/>
                </w:tcPr>
                <w:p>
                  <w:pPr>
                    <w:snapToGrid w:val="0"/>
                    <w:ind w:left="-109" w:leftChars="-52" w:right="-151" w:rightChars="-72"/>
                    <w:jc w:val="center"/>
                    <w:rPr>
                      <w:szCs w:val="21"/>
                    </w:rPr>
                  </w:pPr>
                  <w:r>
                    <w:rPr>
                      <w:szCs w:val="21"/>
                    </w:rPr>
                    <w:t xml:space="preserve">水质 氨氮的测定 </w:t>
                  </w:r>
                </w:p>
                <w:p>
                  <w:pPr>
                    <w:snapToGrid w:val="0"/>
                    <w:ind w:left="-109" w:leftChars="-52" w:right="-151" w:rightChars="-72"/>
                    <w:jc w:val="center"/>
                    <w:rPr>
                      <w:szCs w:val="21"/>
                    </w:rPr>
                  </w:pPr>
                  <w:r>
                    <w:rPr>
                      <w:szCs w:val="21"/>
                    </w:rPr>
                    <w:t>纳氏试剂分光光度法</w:t>
                  </w:r>
                </w:p>
                <w:p>
                  <w:pPr>
                    <w:jc w:val="center"/>
                    <w:rPr>
                      <w:szCs w:val="21"/>
                    </w:rPr>
                  </w:pPr>
                  <w:r>
                    <w:rPr>
                      <w:szCs w:val="21"/>
                    </w:rPr>
                    <w:t>HJ 535-2009</w:t>
                  </w:r>
                </w:p>
              </w:tc>
              <w:tc>
                <w:tcPr>
                  <w:tcW w:w="1559" w:type="dxa"/>
                  <w:vAlign w:val="center"/>
                </w:tcPr>
                <w:p>
                  <w:pPr>
                    <w:jc w:val="center"/>
                    <w:rPr>
                      <w:szCs w:val="21"/>
                    </w:rPr>
                  </w:pPr>
                  <w:r>
                    <w:rPr>
                      <w:rFonts w:hint="eastAsia"/>
                      <w:szCs w:val="21"/>
                    </w:rPr>
                    <w:t>紫外可见分光光度计</w:t>
                  </w:r>
                </w:p>
                <w:p>
                  <w:pPr>
                    <w:jc w:val="center"/>
                    <w:rPr>
                      <w:szCs w:val="21"/>
                    </w:rPr>
                  </w:pPr>
                  <w:r>
                    <w:rPr>
                      <w:rFonts w:hint="eastAsia"/>
                      <w:szCs w:val="21"/>
                    </w:rPr>
                    <w:t>UV-7504</w:t>
                  </w:r>
                </w:p>
              </w:tc>
              <w:tc>
                <w:tcPr>
                  <w:tcW w:w="1303" w:type="dxa"/>
                  <w:vAlign w:val="center"/>
                </w:tcPr>
                <w:p>
                  <w:pPr>
                    <w:jc w:val="center"/>
                    <w:rPr>
                      <w:szCs w:val="21"/>
                    </w:rPr>
                  </w:pPr>
                  <w:r>
                    <w:rPr>
                      <w:rFonts w:hint="eastAsia"/>
                      <w:szCs w:val="21"/>
                    </w:rPr>
                    <w:t>0.025mg/L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 w:hRule="atLeast"/>
                <w:tblHeader/>
                <w:jc w:val="center"/>
              </w:trPr>
              <w:tc>
                <w:tcPr>
                  <w:tcW w:w="822" w:type="dxa"/>
                  <w:vMerge w:val="continue"/>
                  <w:vAlign w:val="center"/>
                </w:tcPr>
                <w:p>
                  <w:pPr>
                    <w:jc w:val="center"/>
                    <w:rPr>
                      <w:szCs w:val="21"/>
                    </w:rPr>
                  </w:pPr>
                </w:p>
              </w:tc>
              <w:tc>
                <w:tcPr>
                  <w:tcW w:w="1462" w:type="dxa"/>
                  <w:vAlign w:val="center"/>
                </w:tcPr>
                <w:p>
                  <w:pPr>
                    <w:jc w:val="center"/>
                    <w:rPr>
                      <w:szCs w:val="21"/>
                    </w:rPr>
                  </w:pPr>
                  <w:r>
                    <w:rPr>
                      <w:rFonts w:hint="eastAsia"/>
                      <w:szCs w:val="21"/>
                    </w:rPr>
                    <w:t>LAS</w:t>
                  </w:r>
                </w:p>
              </w:tc>
              <w:tc>
                <w:tcPr>
                  <w:tcW w:w="3686" w:type="dxa"/>
                  <w:vAlign w:val="center"/>
                </w:tcPr>
                <w:p>
                  <w:pPr>
                    <w:snapToGrid w:val="0"/>
                    <w:jc w:val="center"/>
                    <w:rPr>
                      <w:szCs w:val="21"/>
                    </w:rPr>
                  </w:pPr>
                  <w:r>
                    <w:rPr>
                      <w:szCs w:val="21"/>
                    </w:rPr>
                    <w:t>水质  阴离子表面活性剂的测定</w:t>
                  </w:r>
                </w:p>
                <w:p>
                  <w:pPr>
                    <w:snapToGrid w:val="0"/>
                    <w:jc w:val="center"/>
                    <w:rPr>
                      <w:szCs w:val="21"/>
                    </w:rPr>
                  </w:pPr>
                  <w:r>
                    <w:rPr>
                      <w:szCs w:val="21"/>
                    </w:rPr>
                    <w:t>亚甲蓝分光光度法</w:t>
                  </w:r>
                </w:p>
                <w:p>
                  <w:pPr>
                    <w:jc w:val="center"/>
                    <w:rPr>
                      <w:szCs w:val="21"/>
                    </w:rPr>
                  </w:pPr>
                  <w:r>
                    <w:rPr>
                      <w:szCs w:val="21"/>
                    </w:rPr>
                    <w:t>GB/T 7494-1987</w:t>
                  </w:r>
                </w:p>
              </w:tc>
              <w:tc>
                <w:tcPr>
                  <w:tcW w:w="1559" w:type="dxa"/>
                  <w:vAlign w:val="center"/>
                </w:tcPr>
                <w:p>
                  <w:pPr>
                    <w:jc w:val="center"/>
                    <w:rPr>
                      <w:szCs w:val="21"/>
                    </w:rPr>
                  </w:pPr>
                  <w:r>
                    <w:rPr>
                      <w:rFonts w:hint="eastAsia"/>
                      <w:szCs w:val="21"/>
                    </w:rPr>
                    <w:t>紫外可见分光光度计</w:t>
                  </w:r>
                </w:p>
                <w:p>
                  <w:pPr>
                    <w:jc w:val="center"/>
                    <w:rPr>
                      <w:szCs w:val="21"/>
                    </w:rPr>
                  </w:pPr>
                  <w:r>
                    <w:rPr>
                      <w:rFonts w:hint="eastAsia"/>
                      <w:szCs w:val="21"/>
                    </w:rPr>
                    <w:t>UV-7504</w:t>
                  </w:r>
                </w:p>
              </w:tc>
              <w:tc>
                <w:tcPr>
                  <w:tcW w:w="1303" w:type="dxa"/>
                  <w:vAlign w:val="center"/>
                </w:tcPr>
                <w:p>
                  <w:pPr>
                    <w:jc w:val="center"/>
                    <w:rPr>
                      <w:szCs w:val="21"/>
                    </w:rPr>
                  </w:pPr>
                  <w:r>
                    <w:rPr>
                      <w:rFonts w:hint="eastAsia"/>
                      <w:szCs w:val="21"/>
                    </w:rPr>
                    <w:t>0.05mg/L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822" w:type="dxa"/>
                  <w:vAlign w:val="center"/>
                </w:tcPr>
                <w:p>
                  <w:pPr>
                    <w:jc w:val="center"/>
                    <w:rPr>
                      <w:szCs w:val="21"/>
                    </w:rPr>
                  </w:pPr>
                  <w:r>
                    <w:rPr>
                      <w:szCs w:val="21"/>
                    </w:rPr>
                    <w:t>废气</w:t>
                  </w:r>
                </w:p>
              </w:tc>
              <w:tc>
                <w:tcPr>
                  <w:tcW w:w="1462" w:type="dxa"/>
                  <w:vAlign w:val="center"/>
                </w:tcPr>
                <w:p>
                  <w:pPr>
                    <w:snapToGrid w:val="0"/>
                    <w:jc w:val="center"/>
                    <w:rPr>
                      <w:szCs w:val="21"/>
                    </w:rPr>
                  </w:pPr>
                  <w:r>
                    <w:rPr>
                      <w:szCs w:val="21"/>
                    </w:rPr>
                    <w:t>非甲烷总烃</w:t>
                  </w:r>
                </w:p>
              </w:tc>
              <w:tc>
                <w:tcPr>
                  <w:tcW w:w="3686" w:type="dxa"/>
                  <w:vAlign w:val="center"/>
                </w:tcPr>
                <w:p>
                  <w:pPr>
                    <w:snapToGrid w:val="0"/>
                    <w:jc w:val="center"/>
                    <w:rPr>
                      <w:szCs w:val="21"/>
                    </w:rPr>
                  </w:pPr>
                  <w:r>
                    <w:rPr>
                      <w:szCs w:val="21"/>
                    </w:rPr>
                    <w:t>固定污染源排气中非甲烷总烃的测定</w:t>
                  </w:r>
                  <w:r>
                    <w:rPr>
                      <w:szCs w:val="21"/>
                    </w:rPr>
                    <w:br w:type="textWrapping"/>
                  </w:r>
                  <w:r>
                    <w:rPr>
                      <w:szCs w:val="21"/>
                    </w:rPr>
                    <w:t>气相色谱法HJ/T 38-1999</w:t>
                  </w:r>
                </w:p>
              </w:tc>
              <w:tc>
                <w:tcPr>
                  <w:tcW w:w="1559" w:type="dxa"/>
                  <w:vAlign w:val="center"/>
                </w:tcPr>
                <w:p>
                  <w:pPr>
                    <w:snapToGrid w:val="0"/>
                    <w:jc w:val="center"/>
                    <w:rPr>
                      <w:szCs w:val="21"/>
                    </w:rPr>
                  </w:pPr>
                  <w:r>
                    <w:rPr>
                      <w:szCs w:val="21"/>
                    </w:rPr>
                    <w:t>气相色谱仪</w:t>
                  </w:r>
                  <w:r>
                    <w:rPr>
                      <w:szCs w:val="21"/>
                    </w:rPr>
                    <w:br w:type="textWrapping"/>
                  </w:r>
                  <w:r>
                    <w:rPr>
                      <w:szCs w:val="21"/>
                    </w:rPr>
                    <w:t>GC-2014</w:t>
                  </w:r>
                </w:p>
              </w:tc>
              <w:tc>
                <w:tcPr>
                  <w:tcW w:w="1303" w:type="dxa"/>
                  <w:vAlign w:val="center"/>
                </w:tcPr>
                <w:p>
                  <w:pPr>
                    <w:jc w:val="center"/>
                    <w:rPr>
                      <w:szCs w:val="21"/>
                    </w:rPr>
                  </w:pPr>
                  <w:r>
                    <w:rPr>
                      <w:rFonts w:hint="eastAsia"/>
                      <w:szCs w:val="21"/>
                    </w:rPr>
                    <w:t>0.</w:t>
                  </w:r>
                  <w:r>
                    <w:rPr>
                      <w:szCs w:val="21"/>
                    </w:rPr>
                    <w:t>04</w:t>
                  </w:r>
                  <w:r>
                    <w:rPr>
                      <w:rFonts w:hint="eastAsia"/>
                      <w:szCs w:val="21"/>
                    </w:rPr>
                    <w:t xml:space="preserve"> mg/m</w:t>
                  </w:r>
                  <w:r>
                    <w:rPr>
                      <w:rFonts w:hint="eastAsia"/>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822" w:type="dxa"/>
                  <w:vAlign w:val="center"/>
                </w:tcPr>
                <w:p>
                  <w:pPr>
                    <w:adjustRightInd w:val="0"/>
                    <w:jc w:val="center"/>
                    <w:rPr>
                      <w:szCs w:val="21"/>
                    </w:rPr>
                  </w:pPr>
                  <w:r>
                    <w:rPr>
                      <w:szCs w:val="21"/>
                    </w:rPr>
                    <w:t>噪声</w:t>
                  </w:r>
                </w:p>
              </w:tc>
              <w:tc>
                <w:tcPr>
                  <w:tcW w:w="1462" w:type="dxa"/>
                  <w:vAlign w:val="center"/>
                </w:tcPr>
                <w:p>
                  <w:pPr>
                    <w:adjustRightInd w:val="0"/>
                    <w:jc w:val="center"/>
                    <w:rPr>
                      <w:szCs w:val="21"/>
                    </w:rPr>
                  </w:pPr>
                  <w:r>
                    <w:rPr>
                      <w:szCs w:val="21"/>
                    </w:rPr>
                    <w:t>厂界环境噪声</w:t>
                  </w:r>
                </w:p>
              </w:tc>
              <w:tc>
                <w:tcPr>
                  <w:tcW w:w="3686" w:type="dxa"/>
                  <w:vAlign w:val="center"/>
                </w:tcPr>
                <w:p>
                  <w:pPr>
                    <w:widowControl/>
                    <w:jc w:val="center"/>
                    <w:rPr>
                      <w:szCs w:val="21"/>
                    </w:rPr>
                  </w:pPr>
                  <w:r>
                    <w:rPr>
                      <w:rFonts w:hint="eastAsia"/>
                      <w:szCs w:val="21"/>
                    </w:rPr>
                    <w:t>工业企业厂界环境噪声排放标准</w:t>
                  </w:r>
                </w:p>
                <w:p>
                  <w:pPr>
                    <w:widowControl/>
                    <w:jc w:val="center"/>
                    <w:rPr>
                      <w:szCs w:val="21"/>
                    </w:rPr>
                  </w:pPr>
                  <w:r>
                    <w:rPr>
                      <w:szCs w:val="21"/>
                    </w:rPr>
                    <w:t>GB 12348-2008</w:t>
                  </w:r>
                </w:p>
              </w:tc>
              <w:tc>
                <w:tcPr>
                  <w:tcW w:w="1559" w:type="dxa"/>
                  <w:vAlign w:val="center"/>
                </w:tcPr>
                <w:p>
                  <w:pPr>
                    <w:widowControl/>
                    <w:jc w:val="center"/>
                    <w:rPr>
                      <w:szCs w:val="21"/>
                    </w:rPr>
                  </w:pPr>
                  <w:r>
                    <w:rPr>
                      <w:szCs w:val="21"/>
                    </w:rPr>
                    <w:t>多功能声级仪</w:t>
                  </w:r>
                </w:p>
                <w:p>
                  <w:pPr>
                    <w:widowControl/>
                    <w:jc w:val="center"/>
                    <w:rPr>
                      <w:szCs w:val="21"/>
                    </w:rPr>
                  </w:pPr>
                  <w:r>
                    <w:rPr>
                      <w:szCs w:val="21"/>
                    </w:rPr>
                    <w:t>AWA5680</w:t>
                  </w:r>
                </w:p>
              </w:tc>
              <w:tc>
                <w:tcPr>
                  <w:tcW w:w="1303" w:type="dxa"/>
                  <w:vAlign w:val="center"/>
                </w:tcPr>
                <w:p>
                  <w:pPr>
                    <w:widowControl/>
                    <w:jc w:val="center"/>
                    <w:rPr>
                      <w:szCs w:val="21"/>
                    </w:rPr>
                  </w:pPr>
                  <w:r>
                    <w:rPr>
                      <w:rFonts w:hint="eastAsia"/>
                      <w:szCs w:val="21"/>
                    </w:rPr>
                    <w:t>--</w:t>
                  </w:r>
                </w:p>
              </w:tc>
            </w:tr>
          </w:tbl>
          <w:p>
            <w:pPr>
              <w:autoSpaceDE w:val="0"/>
              <w:autoSpaceDN w:val="0"/>
              <w:spacing w:line="360" w:lineRule="auto"/>
              <w:jc w:val="left"/>
              <w:rPr>
                <w:b/>
                <w:kern w:val="0"/>
                <w:sz w:val="24"/>
                <w:szCs w:val="22"/>
              </w:rPr>
            </w:pPr>
            <w:r>
              <w:rPr>
                <w:b/>
                <w:kern w:val="0"/>
                <w:sz w:val="24"/>
                <w:szCs w:val="22"/>
              </w:rPr>
              <w:t>6、废水监测结果：</w:t>
            </w:r>
          </w:p>
          <w:p>
            <w:pPr>
              <w:spacing w:line="360" w:lineRule="auto"/>
              <w:rPr>
                <w:sz w:val="24"/>
              </w:rPr>
            </w:pPr>
            <w:r>
              <w:rPr>
                <w:rFonts w:hint="eastAsia"/>
                <w:sz w:val="24"/>
              </w:rPr>
              <w:t>生活污水监测结果：</w:t>
            </w:r>
          </w:p>
          <w:tbl>
            <w:tblPr>
              <w:tblStyle w:val="20"/>
              <w:tblW w:w="9133" w:type="dxa"/>
              <w:tblInd w:w="0" w:type="dxa"/>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50"/>
              <w:gridCol w:w="1053"/>
              <w:gridCol w:w="1243"/>
              <w:gridCol w:w="846"/>
              <w:gridCol w:w="847"/>
              <w:gridCol w:w="847"/>
              <w:gridCol w:w="847"/>
              <w:gridCol w:w="1241"/>
              <w:gridCol w:w="850"/>
              <w:gridCol w:w="709"/>
            </w:tblGrid>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restart"/>
                  <w:vAlign w:val="center"/>
                </w:tcPr>
                <w:p>
                  <w:pPr>
                    <w:tabs>
                      <w:tab w:val="left" w:pos="7740"/>
                    </w:tabs>
                    <w:jc w:val="center"/>
                    <w:rPr>
                      <w:bCs/>
                      <w:szCs w:val="21"/>
                    </w:rPr>
                  </w:pPr>
                  <w:r>
                    <w:rPr>
                      <w:bCs/>
                      <w:szCs w:val="21"/>
                    </w:rPr>
                    <w:t>监测点位</w:t>
                  </w:r>
                </w:p>
              </w:tc>
              <w:tc>
                <w:tcPr>
                  <w:tcW w:w="1053" w:type="dxa"/>
                  <w:vMerge w:val="restart"/>
                  <w:vAlign w:val="center"/>
                </w:tcPr>
                <w:p>
                  <w:pPr>
                    <w:tabs>
                      <w:tab w:val="left" w:pos="7740"/>
                    </w:tabs>
                    <w:jc w:val="center"/>
                    <w:rPr>
                      <w:bCs/>
                      <w:szCs w:val="21"/>
                    </w:rPr>
                  </w:pPr>
                  <w:r>
                    <w:rPr>
                      <w:bCs/>
                      <w:szCs w:val="21"/>
                    </w:rPr>
                    <w:t>监测项目</w:t>
                  </w:r>
                </w:p>
              </w:tc>
              <w:tc>
                <w:tcPr>
                  <w:tcW w:w="1243" w:type="dxa"/>
                  <w:vMerge w:val="restart"/>
                  <w:vAlign w:val="center"/>
                </w:tcPr>
                <w:p>
                  <w:pPr>
                    <w:tabs>
                      <w:tab w:val="left" w:pos="7740"/>
                    </w:tabs>
                    <w:jc w:val="center"/>
                    <w:rPr>
                      <w:bCs/>
                      <w:szCs w:val="21"/>
                    </w:rPr>
                  </w:pPr>
                  <w:r>
                    <w:rPr>
                      <w:bCs/>
                      <w:szCs w:val="21"/>
                    </w:rPr>
                    <w:t>监测日期</w:t>
                  </w:r>
                </w:p>
              </w:tc>
              <w:tc>
                <w:tcPr>
                  <w:tcW w:w="4628" w:type="dxa"/>
                  <w:gridSpan w:val="5"/>
                  <w:vAlign w:val="center"/>
                </w:tcPr>
                <w:p>
                  <w:pPr>
                    <w:tabs>
                      <w:tab w:val="left" w:pos="7740"/>
                    </w:tabs>
                    <w:jc w:val="center"/>
                    <w:rPr>
                      <w:bCs/>
                      <w:szCs w:val="21"/>
                    </w:rPr>
                  </w:pPr>
                  <w:r>
                    <w:rPr>
                      <w:bCs/>
                      <w:szCs w:val="21"/>
                    </w:rPr>
                    <w:t>监测结果（</w:t>
                  </w:r>
                  <w:r>
                    <w:rPr>
                      <w:szCs w:val="21"/>
                    </w:rPr>
                    <w:t>mg/L）</w:t>
                  </w:r>
                </w:p>
              </w:tc>
              <w:tc>
                <w:tcPr>
                  <w:tcW w:w="850" w:type="dxa"/>
                  <w:vMerge w:val="restart"/>
                  <w:vAlign w:val="center"/>
                </w:tcPr>
                <w:p>
                  <w:pPr>
                    <w:tabs>
                      <w:tab w:val="left" w:pos="7740"/>
                    </w:tabs>
                    <w:jc w:val="center"/>
                    <w:rPr>
                      <w:bCs/>
                      <w:szCs w:val="21"/>
                    </w:rPr>
                  </w:pPr>
                  <w:r>
                    <w:rPr>
                      <w:bCs/>
                      <w:szCs w:val="21"/>
                    </w:rPr>
                    <w:t>执行</w:t>
                  </w:r>
                </w:p>
                <w:p>
                  <w:pPr>
                    <w:tabs>
                      <w:tab w:val="left" w:pos="7740"/>
                    </w:tabs>
                    <w:jc w:val="center"/>
                    <w:rPr>
                      <w:bCs/>
                      <w:szCs w:val="21"/>
                    </w:rPr>
                  </w:pPr>
                  <w:r>
                    <w:rPr>
                      <w:bCs/>
                      <w:szCs w:val="21"/>
                    </w:rPr>
                    <w:t>标准</w:t>
                  </w:r>
                </w:p>
              </w:tc>
              <w:tc>
                <w:tcPr>
                  <w:tcW w:w="709" w:type="dxa"/>
                  <w:vMerge w:val="restart"/>
                  <w:vAlign w:val="center"/>
                </w:tcPr>
                <w:p>
                  <w:pPr>
                    <w:tabs>
                      <w:tab w:val="left" w:pos="7740"/>
                    </w:tabs>
                    <w:jc w:val="center"/>
                    <w:rPr>
                      <w:bCs/>
                      <w:szCs w:val="21"/>
                    </w:rPr>
                  </w:pPr>
                  <w:r>
                    <w:rPr>
                      <w:bCs/>
                      <w:szCs w:val="21"/>
                    </w:rPr>
                    <w:t>结果</w:t>
                  </w:r>
                </w:p>
                <w:p>
                  <w:pPr>
                    <w:tabs>
                      <w:tab w:val="left" w:pos="7740"/>
                    </w:tabs>
                    <w:jc w:val="center"/>
                    <w:rPr>
                      <w:bCs/>
                      <w:szCs w:val="21"/>
                    </w:rPr>
                  </w:pPr>
                  <w:r>
                    <w:rPr>
                      <w:bCs/>
                      <w:szCs w:val="21"/>
                    </w:rPr>
                    <w:t>评价</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continue"/>
                  <w:vAlign w:val="center"/>
                </w:tcPr>
                <w:p>
                  <w:pPr>
                    <w:tabs>
                      <w:tab w:val="left" w:pos="7740"/>
                    </w:tabs>
                    <w:spacing w:line="360" w:lineRule="auto"/>
                    <w:jc w:val="center"/>
                    <w:rPr>
                      <w:bCs/>
                      <w:szCs w:val="21"/>
                    </w:rPr>
                  </w:pPr>
                </w:p>
              </w:tc>
              <w:tc>
                <w:tcPr>
                  <w:tcW w:w="1053" w:type="dxa"/>
                  <w:vMerge w:val="continue"/>
                  <w:vAlign w:val="center"/>
                </w:tcPr>
                <w:p>
                  <w:pPr>
                    <w:tabs>
                      <w:tab w:val="left" w:pos="7740"/>
                    </w:tabs>
                    <w:spacing w:line="360" w:lineRule="auto"/>
                    <w:jc w:val="center"/>
                    <w:rPr>
                      <w:bCs/>
                      <w:szCs w:val="21"/>
                    </w:rPr>
                  </w:pPr>
                </w:p>
              </w:tc>
              <w:tc>
                <w:tcPr>
                  <w:tcW w:w="1243" w:type="dxa"/>
                  <w:vMerge w:val="continue"/>
                  <w:vAlign w:val="center"/>
                </w:tcPr>
                <w:p>
                  <w:pPr>
                    <w:tabs>
                      <w:tab w:val="left" w:pos="7740"/>
                    </w:tabs>
                    <w:jc w:val="center"/>
                    <w:rPr>
                      <w:bCs/>
                      <w:szCs w:val="21"/>
                    </w:rPr>
                  </w:pPr>
                </w:p>
              </w:tc>
              <w:tc>
                <w:tcPr>
                  <w:tcW w:w="846" w:type="dxa"/>
                  <w:vAlign w:val="center"/>
                </w:tcPr>
                <w:p>
                  <w:pPr>
                    <w:tabs>
                      <w:tab w:val="left" w:pos="7740"/>
                    </w:tabs>
                    <w:jc w:val="center"/>
                    <w:rPr>
                      <w:bCs/>
                      <w:szCs w:val="21"/>
                    </w:rPr>
                  </w:pPr>
                  <w:r>
                    <w:rPr>
                      <w:bCs/>
                      <w:szCs w:val="21"/>
                    </w:rPr>
                    <w:t>第1次</w:t>
                  </w:r>
                </w:p>
              </w:tc>
              <w:tc>
                <w:tcPr>
                  <w:tcW w:w="847" w:type="dxa"/>
                  <w:vAlign w:val="center"/>
                </w:tcPr>
                <w:p>
                  <w:pPr>
                    <w:tabs>
                      <w:tab w:val="left" w:pos="7740"/>
                    </w:tabs>
                    <w:jc w:val="center"/>
                    <w:rPr>
                      <w:bCs/>
                      <w:szCs w:val="21"/>
                    </w:rPr>
                  </w:pPr>
                  <w:r>
                    <w:rPr>
                      <w:bCs/>
                      <w:szCs w:val="21"/>
                    </w:rPr>
                    <w:t>第2次</w:t>
                  </w:r>
                </w:p>
              </w:tc>
              <w:tc>
                <w:tcPr>
                  <w:tcW w:w="847" w:type="dxa"/>
                  <w:vAlign w:val="center"/>
                </w:tcPr>
                <w:p>
                  <w:pPr>
                    <w:tabs>
                      <w:tab w:val="left" w:pos="7740"/>
                    </w:tabs>
                    <w:jc w:val="center"/>
                    <w:rPr>
                      <w:bCs/>
                      <w:szCs w:val="21"/>
                    </w:rPr>
                  </w:pPr>
                  <w:r>
                    <w:rPr>
                      <w:bCs/>
                      <w:szCs w:val="21"/>
                    </w:rPr>
                    <w:t>第3次</w:t>
                  </w:r>
                </w:p>
              </w:tc>
              <w:tc>
                <w:tcPr>
                  <w:tcW w:w="847" w:type="dxa"/>
                  <w:vAlign w:val="center"/>
                </w:tcPr>
                <w:p>
                  <w:pPr>
                    <w:tabs>
                      <w:tab w:val="left" w:pos="7740"/>
                    </w:tabs>
                    <w:jc w:val="center"/>
                    <w:rPr>
                      <w:bCs/>
                      <w:szCs w:val="21"/>
                    </w:rPr>
                  </w:pPr>
                  <w:r>
                    <w:rPr>
                      <w:bCs/>
                      <w:szCs w:val="21"/>
                    </w:rPr>
                    <w:t>第4次</w:t>
                  </w:r>
                </w:p>
              </w:tc>
              <w:tc>
                <w:tcPr>
                  <w:tcW w:w="1241" w:type="dxa"/>
                  <w:vAlign w:val="center"/>
                </w:tcPr>
                <w:p>
                  <w:pPr>
                    <w:tabs>
                      <w:tab w:val="left" w:pos="7740"/>
                    </w:tabs>
                    <w:jc w:val="center"/>
                    <w:rPr>
                      <w:bCs/>
                      <w:szCs w:val="21"/>
                    </w:rPr>
                  </w:pPr>
                  <w:r>
                    <w:rPr>
                      <w:bCs/>
                      <w:szCs w:val="21"/>
                    </w:rPr>
                    <w:t>平均值</w:t>
                  </w:r>
                </w:p>
              </w:tc>
              <w:tc>
                <w:tcPr>
                  <w:tcW w:w="850" w:type="dxa"/>
                  <w:vMerge w:val="continue"/>
                  <w:vAlign w:val="center"/>
                </w:tcPr>
                <w:p>
                  <w:pPr>
                    <w:tabs>
                      <w:tab w:val="left" w:pos="7740"/>
                    </w:tabs>
                    <w:jc w:val="center"/>
                    <w:rPr>
                      <w:bCs/>
                      <w:color w:val="FF0000"/>
                      <w:szCs w:val="21"/>
                    </w:rPr>
                  </w:pPr>
                </w:p>
              </w:tc>
              <w:tc>
                <w:tcPr>
                  <w:tcW w:w="709" w:type="dxa"/>
                  <w:vMerge w:val="continue"/>
                  <w:vAlign w:val="center"/>
                </w:tcPr>
                <w:p>
                  <w:pPr>
                    <w:tabs>
                      <w:tab w:val="left" w:pos="7740"/>
                    </w:tabs>
                    <w:jc w:val="center"/>
                    <w:rPr>
                      <w:bCs/>
                      <w:color w:val="FF0000"/>
                      <w:szCs w:val="21"/>
                    </w:rPr>
                  </w:pP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restart"/>
                  <w:vAlign w:val="center"/>
                </w:tcPr>
                <w:p>
                  <w:pPr>
                    <w:spacing w:line="276" w:lineRule="auto"/>
                    <w:jc w:val="center"/>
                    <w:rPr>
                      <w:color w:val="FF0000"/>
                      <w:szCs w:val="21"/>
                    </w:rPr>
                  </w:pPr>
                  <w:bookmarkStart w:id="9" w:name="OLE_LINK9" w:colFirst="2" w:colLast="2"/>
                  <w:r>
                    <w:rPr>
                      <w:szCs w:val="21"/>
                    </w:rPr>
                    <w:t>生活污水排放口</w:t>
                  </w:r>
                </w:p>
              </w:tc>
              <w:tc>
                <w:tcPr>
                  <w:tcW w:w="1053" w:type="dxa"/>
                  <w:vMerge w:val="restart"/>
                  <w:vAlign w:val="center"/>
                </w:tcPr>
                <w:p>
                  <w:pPr>
                    <w:jc w:val="center"/>
                    <w:rPr>
                      <w:szCs w:val="21"/>
                    </w:rPr>
                  </w:pPr>
                  <w:r>
                    <w:rPr>
                      <w:szCs w:val="21"/>
                    </w:rPr>
                    <w:t>pH</w:t>
                  </w:r>
                </w:p>
                <w:p>
                  <w:pPr>
                    <w:jc w:val="center"/>
                    <w:rPr>
                      <w:szCs w:val="21"/>
                    </w:rPr>
                  </w:pPr>
                  <w:r>
                    <w:rPr>
                      <w:szCs w:val="21"/>
                    </w:rPr>
                    <w:t>(无量纲)</w:t>
                  </w: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5</w:t>
                  </w:r>
                  <w:r>
                    <w:rPr>
                      <w:rFonts w:hint="eastAsia"/>
                      <w:bCs/>
                      <w:kern w:val="0"/>
                      <w:sz w:val="22"/>
                      <w:szCs w:val="21"/>
                    </w:rPr>
                    <w:t>.</w:t>
                  </w:r>
                  <w:r>
                    <w:rPr>
                      <w:bCs/>
                      <w:kern w:val="0"/>
                      <w:sz w:val="22"/>
                      <w:szCs w:val="21"/>
                    </w:rPr>
                    <w:t>31</w:t>
                  </w:r>
                </w:p>
              </w:tc>
              <w:tc>
                <w:tcPr>
                  <w:tcW w:w="846" w:type="dxa"/>
                  <w:vAlign w:val="center"/>
                </w:tcPr>
                <w:p>
                  <w:pPr>
                    <w:jc w:val="center"/>
                  </w:pPr>
                  <w:r>
                    <w:t>6.87</w:t>
                  </w:r>
                </w:p>
              </w:tc>
              <w:tc>
                <w:tcPr>
                  <w:tcW w:w="847" w:type="dxa"/>
                  <w:vAlign w:val="center"/>
                </w:tcPr>
                <w:p>
                  <w:pPr>
                    <w:jc w:val="center"/>
                  </w:pPr>
                  <w:r>
                    <w:t>6.88</w:t>
                  </w:r>
                </w:p>
              </w:tc>
              <w:tc>
                <w:tcPr>
                  <w:tcW w:w="847" w:type="dxa"/>
                  <w:vAlign w:val="center"/>
                </w:tcPr>
                <w:p>
                  <w:pPr>
                    <w:jc w:val="center"/>
                  </w:pPr>
                  <w:r>
                    <w:t>6.95</w:t>
                  </w:r>
                </w:p>
              </w:tc>
              <w:tc>
                <w:tcPr>
                  <w:tcW w:w="847" w:type="dxa"/>
                  <w:vAlign w:val="center"/>
                </w:tcPr>
                <w:p>
                  <w:pPr>
                    <w:jc w:val="center"/>
                  </w:pPr>
                  <w:r>
                    <w:t>6.86</w:t>
                  </w:r>
                </w:p>
              </w:tc>
              <w:tc>
                <w:tcPr>
                  <w:tcW w:w="1241" w:type="dxa"/>
                  <w:vAlign w:val="center"/>
                </w:tcPr>
                <w:p>
                  <w:pPr>
                    <w:jc w:val="center"/>
                    <w:rPr>
                      <w:szCs w:val="21"/>
                    </w:rPr>
                  </w:pPr>
                  <w:r>
                    <w:rPr>
                      <w:szCs w:val="21"/>
                    </w:rPr>
                    <w:t>6.86-6.95</w:t>
                  </w:r>
                </w:p>
              </w:tc>
              <w:tc>
                <w:tcPr>
                  <w:tcW w:w="850" w:type="dxa"/>
                  <w:vMerge w:val="restart"/>
                  <w:vAlign w:val="center"/>
                </w:tcPr>
                <w:p>
                  <w:pPr>
                    <w:autoSpaceDE w:val="0"/>
                    <w:autoSpaceDN w:val="0"/>
                    <w:spacing w:line="276" w:lineRule="auto"/>
                    <w:jc w:val="center"/>
                    <w:rPr>
                      <w:color w:val="FF0000"/>
                      <w:szCs w:val="21"/>
                    </w:rPr>
                  </w:pPr>
                  <w:r>
                    <w:rPr>
                      <w:rFonts w:hint="eastAsia"/>
                      <w:szCs w:val="21"/>
                    </w:rPr>
                    <w:t>6</w:t>
                  </w:r>
                  <w:r>
                    <w:rPr>
                      <w:szCs w:val="21"/>
                    </w:rPr>
                    <w:t>-9</w:t>
                  </w:r>
                </w:p>
              </w:tc>
              <w:tc>
                <w:tcPr>
                  <w:tcW w:w="709" w:type="dxa"/>
                  <w:vMerge w:val="restart"/>
                  <w:vAlign w:val="center"/>
                </w:tcPr>
                <w:p>
                  <w:pPr>
                    <w:spacing w:line="276" w:lineRule="auto"/>
                    <w:rPr>
                      <w:szCs w:val="21"/>
                    </w:rPr>
                  </w:pPr>
                  <w:r>
                    <w:rPr>
                      <w:rFonts w:hint="eastAsia"/>
                      <w:szCs w:val="21"/>
                    </w:rPr>
                    <w:t>达标</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continue"/>
                  <w:vAlign w:val="center"/>
                </w:tcPr>
                <w:p>
                  <w:pPr>
                    <w:spacing w:line="276" w:lineRule="auto"/>
                    <w:jc w:val="center"/>
                    <w:rPr>
                      <w:color w:val="FF0000"/>
                      <w:szCs w:val="21"/>
                    </w:rPr>
                  </w:pPr>
                </w:p>
              </w:tc>
              <w:tc>
                <w:tcPr>
                  <w:tcW w:w="1053" w:type="dxa"/>
                  <w:vMerge w:val="continue"/>
                  <w:vAlign w:val="center"/>
                </w:tcPr>
                <w:p>
                  <w:pPr>
                    <w:jc w:val="center"/>
                    <w:rPr>
                      <w:szCs w:val="21"/>
                    </w:rPr>
                  </w:pP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6</w:t>
                  </w:r>
                  <w:r>
                    <w:rPr>
                      <w:rFonts w:hint="eastAsia"/>
                      <w:bCs/>
                      <w:kern w:val="0"/>
                      <w:sz w:val="22"/>
                      <w:szCs w:val="21"/>
                    </w:rPr>
                    <w:t>.1</w:t>
                  </w:r>
                </w:p>
              </w:tc>
              <w:tc>
                <w:tcPr>
                  <w:tcW w:w="846" w:type="dxa"/>
                  <w:vAlign w:val="center"/>
                </w:tcPr>
                <w:p>
                  <w:pPr>
                    <w:jc w:val="center"/>
                  </w:pPr>
                  <w:r>
                    <w:t>7.01</w:t>
                  </w:r>
                </w:p>
              </w:tc>
              <w:tc>
                <w:tcPr>
                  <w:tcW w:w="847" w:type="dxa"/>
                  <w:vAlign w:val="center"/>
                </w:tcPr>
                <w:p>
                  <w:pPr>
                    <w:jc w:val="center"/>
                  </w:pPr>
                  <w:r>
                    <w:t>7.01</w:t>
                  </w:r>
                </w:p>
              </w:tc>
              <w:tc>
                <w:tcPr>
                  <w:tcW w:w="847" w:type="dxa"/>
                  <w:vAlign w:val="center"/>
                </w:tcPr>
                <w:p>
                  <w:pPr>
                    <w:jc w:val="center"/>
                  </w:pPr>
                  <w:r>
                    <w:t>7.04</w:t>
                  </w:r>
                </w:p>
              </w:tc>
              <w:tc>
                <w:tcPr>
                  <w:tcW w:w="847" w:type="dxa"/>
                  <w:vAlign w:val="center"/>
                </w:tcPr>
                <w:p>
                  <w:pPr>
                    <w:jc w:val="center"/>
                  </w:pPr>
                  <w:r>
                    <w:t>7.00</w:t>
                  </w:r>
                </w:p>
              </w:tc>
              <w:tc>
                <w:tcPr>
                  <w:tcW w:w="1241" w:type="dxa"/>
                  <w:vAlign w:val="center"/>
                </w:tcPr>
                <w:p>
                  <w:pPr>
                    <w:jc w:val="center"/>
                    <w:rPr>
                      <w:szCs w:val="21"/>
                    </w:rPr>
                  </w:pPr>
                  <w:r>
                    <w:rPr>
                      <w:szCs w:val="21"/>
                    </w:rPr>
                    <w:t>7.00-7.04</w:t>
                  </w:r>
                </w:p>
              </w:tc>
              <w:tc>
                <w:tcPr>
                  <w:tcW w:w="850" w:type="dxa"/>
                  <w:vMerge w:val="continue"/>
                  <w:vAlign w:val="center"/>
                </w:tcPr>
                <w:p>
                  <w:pPr>
                    <w:spacing w:line="276" w:lineRule="auto"/>
                    <w:jc w:val="center"/>
                    <w:rPr>
                      <w:color w:val="FF0000"/>
                      <w:szCs w:val="21"/>
                    </w:rPr>
                  </w:pPr>
                </w:p>
              </w:tc>
              <w:tc>
                <w:tcPr>
                  <w:tcW w:w="709" w:type="dxa"/>
                  <w:vMerge w:val="continue"/>
                  <w:vAlign w:val="center"/>
                </w:tcPr>
                <w:p>
                  <w:pPr>
                    <w:spacing w:line="276" w:lineRule="auto"/>
                    <w:jc w:val="center"/>
                    <w:rPr>
                      <w:szCs w:val="21"/>
                    </w:rPr>
                  </w:pPr>
                </w:p>
              </w:tc>
            </w:tr>
            <w:bookmarkEnd w:id="9"/>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continue"/>
                  <w:vAlign w:val="center"/>
                </w:tcPr>
                <w:p>
                  <w:pPr>
                    <w:spacing w:line="276" w:lineRule="auto"/>
                    <w:jc w:val="center"/>
                    <w:rPr>
                      <w:color w:val="FF0000"/>
                      <w:szCs w:val="21"/>
                    </w:rPr>
                  </w:pPr>
                </w:p>
              </w:tc>
              <w:tc>
                <w:tcPr>
                  <w:tcW w:w="1053" w:type="dxa"/>
                  <w:vMerge w:val="restart"/>
                  <w:vAlign w:val="center"/>
                </w:tcPr>
                <w:p>
                  <w:pPr>
                    <w:jc w:val="center"/>
                    <w:rPr>
                      <w:szCs w:val="21"/>
                    </w:rPr>
                  </w:pPr>
                  <w:r>
                    <w:rPr>
                      <w:szCs w:val="21"/>
                    </w:rPr>
                    <w:t>悬浮物</w:t>
                  </w: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5</w:t>
                  </w:r>
                  <w:r>
                    <w:rPr>
                      <w:rFonts w:hint="eastAsia"/>
                      <w:bCs/>
                      <w:kern w:val="0"/>
                      <w:sz w:val="22"/>
                      <w:szCs w:val="21"/>
                    </w:rPr>
                    <w:t>.</w:t>
                  </w:r>
                  <w:r>
                    <w:rPr>
                      <w:bCs/>
                      <w:kern w:val="0"/>
                      <w:sz w:val="22"/>
                      <w:szCs w:val="21"/>
                    </w:rPr>
                    <w:t>31</w:t>
                  </w:r>
                </w:p>
              </w:tc>
              <w:tc>
                <w:tcPr>
                  <w:tcW w:w="846" w:type="dxa"/>
                  <w:vAlign w:val="center"/>
                </w:tcPr>
                <w:p>
                  <w:pPr>
                    <w:jc w:val="center"/>
                  </w:pPr>
                  <w:r>
                    <w:t>102</w:t>
                  </w:r>
                </w:p>
              </w:tc>
              <w:tc>
                <w:tcPr>
                  <w:tcW w:w="847" w:type="dxa"/>
                  <w:vAlign w:val="center"/>
                </w:tcPr>
                <w:p>
                  <w:pPr>
                    <w:jc w:val="center"/>
                  </w:pPr>
                  <w:r>
                    <w:t>104</w:t>
                  </w:r>
                </w:p>
              </w:tc>
              <w:tc>
                <w:tcPr>
                  <w:tcW w:w="847" w:type="dxa"/>
                  <w:vAlign w:val="center"/>
                </w:tcPr>
                <w:p>
                  <w:pPr>
                    <w:jc w:val="center"/>
                  </w:pPr>
                  <w:r>
                    <w:t>100</w:t>
                  </w:r>
                </w:p>
              </w:tc>
              <w:tc>
                <w:tcPr>
                  <w:tcW w:w="847" w:type="dxa"/>
                  <w:vAlign w:val="center"/>
                </w:tcPr>
                <w:p>
                  <w:pPr>
                    <w:jc w:val="center"/>
                  </w:pPr>
                  <w:r>
                    <w:t>106</w:t>
                  </w:r>
                </w:p>
              </w:tc>
              <w:tc>
                <w:tcPr>
                  <w:tcW w:w="1241" w:type="dxa"/>
                  <w:vAlign w:val="center"/>
                </w:tcPr>
                <w:p>
                  <w:pPr>
                    <w:jc w:val="center"/>
                    <w:rPr>
                      <w:szCs w:val="21"/>
                    </w:rPr>
                  </w:pPr>
                  <w:r>
                    <w:rPr>
                      <w:szCs w:val="21"/>
                    </w:rPr>
                    <w:t>103</w:t>
                  </w:r>
                </w:p>
              </w:tc>
              <w:tc>
                <w:tcPr>
                  <w:tcW w:w="850" w:type="dxa"/>
                  <w:vMerge w:val="restart"/>
                  <w:vAlign w:val="center"/>
                </w:tcPr>
                <w:p>
                  <w:pPr>
                    <w:autoSpaceDE w:val="0"/>
                    <w:autoSpaceDN w:val="0"/>
                    <w:spacing w:line="276" w:lineRule="auto"/>
                    <w:jc w:val="center"/>
                    <w:rPr>
                      <w:szCs w:val="21"/>
                    </w:rPr>
                  </w:pPr>
                  <w:r>
                    <w:rPr>
                      <w:rFonts w:hint="eastAsia"/>
                      <w:szCs w:val="21"/>
                    </w:rPr>
                    <w:t>400</w:t>
                  </w:r>
                </w:p>
              </w:tc>
              <w:tc>
                <w:tcPr>
                  <w:tcW w:w="709" w:type="dxa"/>
                  <w:vMerge w:val="restart"/>
                  <w:vAlign w:val="center"/>
                </w:tcPr>
                <w:p>
                  <w:pPr>
                    <w:spacing w:line="276" w:lineRule="auto"/>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continue"/>
                  <w:vAlign w:val="center"/>
                </w:tcPr>
                <w:p>
                  <w:pPr>
                    <w:spacing w:line="276" w:lineRule="auto"/>
                    <w:jc w:val="center"/>
                    <w:rPr>
                      <w:color w:val="FF0000"/>
                      <w:szCs w:val="21"/>
                    </w:rPr>
                  </w:pPr>
                  <w:bookmarkStart w:id="10" w:name="OLE_LINK8" w:colFirst="3" w:colLast="6"/>
                </w:p>
              </w:tc>
              <w:tc>
                <w:tcPr>
                  <w:tcW w:w="1053" w:type="dxa"/>
                  <w:vMerge w:val="continue"/>
                  <w:vAlign w:val="center"/>
                </w:tcPr>
                <w:p>
                  <w:pPr>
                    <w:jc w:val="center"/>
                    <w:rPr>
                      <w:szCs w:val="21"/>
                    </w:rPr>
                  </w:pP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6</w:t>
                  </w:r>
                  <w:r>
                    <w:rPr>
                      <w:rFonts w:hint="eastAsia"/>
                      <w:bCs/>
                      <w:kern w:val="0"/>
                      <w:sz w:val="22"/>
                      <w:szCs w:val="21"/>
                    </w:rPr>
                    <w:t>.1</w:t>
                  </w:r>
                </w:p>
              </w:tc>
              <w:tc>
                <w:tcPr>
                  <w:tcW w:w="846" w:type="dxa"/>
                  <w:vAlign w:val="center"/>
                </w:tcPr>
                <w:p>
                  <w:pPr>
                    <w:jc w:val="center"/>
                  </w:pPr>
                  <w:r>
                    <w:t>86</w:t>
                  </w:r>
                </w:p>
              </w:tc>
              <w:tc>
                <w:tcPr>
                  <w:tcW w:w="847" w:type="dxa"/>
                  <w:vAlign w:val="center"/>
                </w:tcPr>
                <w:p>
                  <w:pPr>
                    <w:jc w:val="center"/>
                  </w:pPr>
                  <w:r>
                    <w:t>88</w:t>
                  </w:r>
                </w:p>
              </w:tc>
              <w:tc>
                <w:tcPr>
                  <w:tcW w:w="847" w:type="dxa"/>
                  <w:vAlign w:val="center"/>
                </w:tcPr>
                <w:p>
                  <w:pPr>
                    <w:jc w:val="center"/>
                  </w:pPr>
                  <w:r>
                    <w:t>98</w:t>
                  </w:r>
                </w:p>
              </w:tc>
              <w:tc>
                <w:tcPr>
                  <w:tcW w:w="847" w:type="dxa"/>
                  <w:vAlign w:val="center"/>
                </w:tcPr>
                <w:p>
                  <w:pPr>
                    <w:jc w:val="center"/>
                  </w:pPr>
                  <w:r>
                    <w:t>85</w:t>
                  </w:r>
                </w:p>
              </w:tc>
              <w:tc>
                <w:tcPr>
                  <w:tcW w:w="1241" w:type="dxa"/>
                  <w:vAlign w:val="center"/>
                </w:tcPr>
                <w:p>
                  <w:pPr>
                    <w:jc w:val="center"/>
                    <w:rPr>
                      <w:szCs w:val="21"/>
                    </w:rPr>
                  </w:pPr>
                  <w:r>
                    <w:rPr>
                      <w:szCs w:val="21"/>
                    </w:rPr>
                    <w:t>89</w:t>
                  </w:r>
                </w:p>
              </w:tc>
              <w:tc>
                <w:tcPr>
                  <w:tcW w:w="850" w:type="dxa"/>
                  <w:vMerge w:val="continue"/>
                  <w:vAlign w:val="center"/>
                </w:tcPr>
                <w:p>
                  <w:pPr>
                    <w:spacing w:line="276" w:lineRule="auto"/>
                    <w:jc w:val="center"/>
                    <w:rPr>
                      <w:color w:val="FF0000"/>
                      <w:szCs w:val="21"/>
                    </w:rPr>
                  </w:pPr>
                </w:p>
              </w:tc>
              <w:tc>
                <w:tcPr>
                  <w:tcW w:w="709" w:type="dxa"/>
                  <w:vMerge w:val="continue"/>
                  <w:vAlign w:val="center"/>
                </w:tcPr>
                <w:p>
                  <w:pPr>
                    <w:spacing w:line="276" w:lineRule="auto"/>
                    <w:jc w:val="center"/>
                    <w:rPr>
                      <w:szCs w:val="21"/>
                    </w:rPr>
                  </w:pPr>
                </w:p>
              </w:tc>
            </w:tr>
            <w:bookmarkEnd w:id="10"/>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continue"/>
                  <w:vAlign w:val="center"/>
                </w:tcPr>
                <w:p>
                  <w:pPr>
                    <w:spacing w:line="276" w:lineRule="auto"/>
                    <w:jc w:val="center"/>
                    <w:rPr>
                      <w:color w:val="FF0000"/>
                      <w:szCs w:val="21"/>
                    </w:rPr>
                  </w:pPr>
                </w:p>
              </w:tc>
              <w:tc>
                <w:tcPr>
                  <w:tcW w:w="1053" w:type="dxa"/>
                  <w:vMerge w:val="restart"/>
                  <w:vAlign w:val="center"/>
                </w:tcPr>
                <w:p>
                  <w:pPr>
                    <w:jc w:val="center"/>
                    <w:rPr>
                      <w:szCs w:val="21"/>
                    </w:rPr>
                  </w:pPr>
                  <w:r>
                    <w:rPr>
                      <w:szCs w:val="21"/>
                    </w:rPr>
                    <w:t>化学</w:t>
                  </w:r>
                </w:p>
                <w:p>
                  <w:pPr>
                    <w:snapToGrid w:val="0"/>
                    <w:jc w:val="center"/>
                    <w:rPr>
                      <w:szCs w:val="21"/>
                    </w:rPr>
                  </w:pPr>
                  <w:r>
                    <w:rPr>
                      <w:szCs w:val="21"/>
                    </w:rPr>
                    <w:t>需氧量</w:t>
                  </w: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5</w:t>
                  </w:r>
                  <w:r>
                    <w:rPr>
                      <w:rFonts w:hint="eastAsia"/>
                      <w:bCs/>
                      <w:kern w:val="0"/>
                      <w:sz w:val="22"/>
                      <w:szCs w:val="21"/>
                    </w:rPr>
                    <w:t>.</w:t>
                  </w:r>
                  <w:r>
                    <w:rPr>
                      <w:bCs/>
                      <w:kern w:val="0"/>
                      <w:sz w:val="22"/>
                      <w:szCs w:val="21"/>
                    </w:rPr>
                    <w:t>31</w:t>
                  </w:r>
                </w:p>
              </w:tc>
              <w:tc>
                <w:tcPr>
                  <w:tcW w:w="846" w:type="dxa"/>
                  <w:vAlign w:val="center"/>
                </w:tcPr>
                <w:p>
                  <w:pPr>
                    <w:jc w:val="center"/>
                  </w:pPr>
                  <w:r>
                    <w:t>262</w:t>
                  </w:r>
                </w:p>
              </w:tc>
              <w:tc>
                <w:tcPr>
                  <w:tcW w:w="847" w:type="dxa"/>
                  <w:vAlign w:val="center"/>
                </w:tcPr>
                <w:p>
                  <w:pPr>
                    <w:jc w:val="center"/>
                  </w:pPr>
                  <w:r>
                    <w:t>262</w:t>
                  </w:r>
                </w:p>
              </w:tc>
              <w:tc>
                <w:tcPr>
                  <w:tcW w:w="847" w:type="dxa"/>
                  <w:vAlign w:val="center"/>
                </w:tcPr>
                <w:p>
                  <w:pPr>
                    <w:jc w:val="center"/>
                  </w:pPr>
                  <w:r>
                    <w:t>256</w:t>
                  </w:r>
                </w:p>
              </w:tc>
              <w:tc>
                <w:tcPr>
                  <w:tcW w:w="847" w:type="dxa"/>
                  <w:vAlign w:val="center"/>
                </w:tcPr>
                <w:p>
                  <w:pPr>
                    <w:jc w:val="center"/>
                  </w:pPr>
                  <w:r>
                    <w:t>250</w:t>
                  </w:r>
                </w:p>
              </w:tc>
              <w:tc>
                <w:tcPr>
                  <w:tcW w:w="1241" w:type="dxa"/>
                  <w:vAlign w:val="center"/>
                </w:tcPr>
                <w:p>
                  <w:pPr>
                    <w:jc w:val="center"/>
                    <w:rPr>
                      <w:szCs w:val="21"/>
                    </w:rPr>
                  </w:pPr>
                  <w:r>
                    <w:rPr>
                      <w:szCs w:val="21"/>
                    </w:rPr>
                    <w:t>258</w:t>
                  </w:r>
                </w:p>
              </w:tc>
              <w:tc>
                <w:tcPr>
                  <w:tcW w:w="850" w:type="dxa"/>
                  <w:vMerge w:val="restart"/>
                  <w:vAlign w:val="center"/>
                </w:tcPr>
                <w:p>
                  <w:pPr>
                    <w:autoSpaceDE w:val="0"/>
                    <w:autoSpaceDN w:val="0"/>
                    <w:spacing w:line="276" w:lineRule="auto"/>
                    <w:jc w:val="center"/>
                    <w:rPr>
                      <w:szCs w:val="21"/>
                    </w:rPr>
                  </w:pPr>
                  <w:r>
                    <w:rPr>
                      <w:rFonts w:hint="eastAsia"/>
                      <w:szCs w:val="21"/>
                    </w:rPr>
                    <w:t>500</w:t>
                  </w:r>
                </w:p>
              </w:tc>
              <w:tc>
                <w:tcPr>
                  <w:tcW w:w="709" w:type="dxa"/>
                  <w:vMerge w:val="restart"/>
                  <w:vAlign w:val="center"/>
                </w:tcPr>
                <w:p>
                  <w:pPr>
                    <w:spacing w:line="276" w:lineRule="auto"/>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continue"/>
                  <w:vAlign w:val="center"/>
                </w:tcPr>
                <w:p>
                  <w:pPr>
                    <w:spacing w:line="276" w:lineRule="auto"/>
                    <w:jc w:val="center"/>
                    <w:rPr>
                      <w:color w:val="FF0000"/>
                      <w:szCs w:val="21"/>
                    </w:rPr>
                  </w:pPr>
                </w:p>
              </w:tc>
              <w:tc>
                <w:tcPr>
                  <w:tcW w:w="1053" w:type="dxa"/>
                  <w:vMerge w:val="continue"/>
                  <w:vAlign w:val="center"/>
                </w:tcPr>
                <w:p>
                  <w:pPr>
                    <w:jc w:val="center"/>
                    <w:rPr>
                      <w:szCs w:val="21"/>
                    </w:rPr>
                  </w:pP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6</w:t>
                  </w:r>
                  <w:r>
                    <w:rPr>
                      <w:rFonts w:hint="eastAsia"/>
                      <w:bCs/>
                      <w:kern w:val="0"/>
                      <w:sz w:val="22"/>
                      <w:szCs w:val="21"/>
                    </w:rPr>
                    <w:t>.1</w:t>
                  </w:r>
                </w:p>
              </w:tc>
              <w:tc>
                <w:tcPr>
                  <w:tcW w:w="846" w:type="dxa"/>
                  <w:vAlign w:val="center"/>
                </w:tcPr>
                <w:p>
                  <w:pPr>
                    <w:jc w:val="center"/>
                  </w:pPr>
                  <w:r>
                    <w:t>314</w:t>
                  </w:r>
                </w:p>
              </w:tc>
              <w:tc>
                <w:tcPr>
                  <w:tcW w:w="847" w:type="dxa"/>
                  <w:vAlign w:val="center"/>
                </w:tcPr>
                <w:p>
                  <w:pPr>
                    <w:jc w:val="center"/>
                  </w:pPr>
                  <w:r>
                    <w:t>293</w:t>
                  </w:r>
                </w:p>
              </w:tc>
              <w:tc>
                <w:tcPr>
                  <w:tcW w:w="847" w:type="dxa"/>
                  <w:vAlign w:val="center"/>
                </w:tcPr>
                <w:p>
                  <w:pPr>
                    <w:jc w:val="center"/>
                  </w:pPr>
                  <w:r>
                    <w:t>278</w:t>
                  </w:r>
                </w:p>
              </w:tc>
              <w:tc>
                <w:tcPr>
                  <w:tcW w:w="847" w:type="dxa"/>
                  <w:vAlign w:val="center"/>
                </w:tcPr>
                <w:p>
                  <w:pPr>
                    <w:jc w:val="center"/>
                  </w:pPr>
                  <w:r>
                    <w:t>276</w:t>
                  </w:r>
                </w:p>
              </w:tc>
              <w:tc>
                <w:tcPr>
                  <w:tcW w:w="1241" w:type="dxa"/>
                  <w:vAlign w:val="center"/>
                </w:tcPr>
                <w:p>
                  <w:pPr>
                    <w:jc w:val="center"/>
                    <w:rPr>
                      <w:szCs w:val="21"/>
                    </w:rPr>
                  </w:pPr>
                  <w:r>
                    <w:rPr>
                      <w:szCs w:val="21"/>
                    </w:rPr>
                    <w:t>290</w:t>
                  </w:r>
                </w:p>
              </w:tc>
              <w:tc>
                <w:tcPr>
                  <w:tcW w:w="850" w:type="dxa"/>
                  <w:vMerge w:val="continue"/>
                  <w:vAlign w:val="center"/>
                </w:tcPr>
                <w:p>
                  <w:pPr>
                    <w:spacing w:line="276" w:lineRule="auto"/>
                    <w:jc w:val="center"/>
                    <w:rPr>
                      <w:szCs w:val="21"/>
                    </w:rPr>
                  </w:pPr>
                </w:p>
              </w:tc>
              <w:tc>
                <w:tcPr>
                  <w:tcW w:w="709" w:type="dxa"/>
                  <w:vMerge w:val="continue"/>
                  <w:vAlign w:val="center"/>
                </w:tcPr>
                <w:p>
                  <w:pPr>
                    <w:spacing w:line="276"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continue"/>
                  <w:vAlign w:val="center"/>
                </w:tcPr>
                <w:p>
                  <w:pPr>
                    <w:spacing w:line="276" w:lineRule="auto"/>
                    <w:jc w:val="center"/>
                    <w:rPr>
                      <w:color w:val="FF0000"/>
                      <w:szCs w:val="21"/>
                    </w:rPr>
                  </w:pPr>
                </w:p>
              </w:tc>
              <w:tc>
                <w:tcPr>
                  <w:tcW w:w="1053" w:type="dxa"/>
                  <w:vMerge w:val="restart"/>
                  <w:vAlign w:val="center"/>
                </w:tcPr>
                <w:p>
                  <w:pPr>
                    <w:jc w:val="center"/>
                    <w:rPr>
                      <w:szCs w:val="21"/>
                    </w:rPr>
                  </w:pPr>
                  <w:r>
                    <w:t>氨氮</w:t>
                  </w: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5</w:t>
                  </w:r>
                  <w:r>
                    <w:rPr>
                      <w:rFonts w:hint="eastAsia"/>
                      <w:bCs/>
                      <w:kern w:val="0"/>
                      <w:sz w:val="22"/>
                      <w:szCs w:val="21"/>
                    </w:rPr>
                    <w:t>.</w:t>
                  </w:r>
                  <w:r>
                    <w:rPr>
                      <w:bCs/>
                      <w:kern w:val="0"/>
                      <w:sz w:val="22"/>
                      <w:szCs w:val="21"/>
                    </w:rPr>
                    <w:t>31</w:t>
                  </w:r>
                </w:p>
              </w:tc>
              <w:tc>
                <w:tcPr>
                  <w:tcW w:w="846" w:type="dxa"/>
                  <w:vAlign w:val="center"/>
                </w:tcPr>
                <w:p>
                  <w:pPr>
                    <w:jc w:val="center"/>
                  </w:pPr>
                  <w:r>
                    <w:t>61.3</w:t>
                  </w:r>
                </w:p>
              </w:tc>
              <w:tc>
                <w:tcPr>
                  <w:tcW w:w="847" w:type="dxa"/>
                  <w:vAlign w:val="center"/>
                </w:tcPr>
                <w:p>
                  <w:pPr>
                    <w:jc w:val="center"/>
                  </w:pPr>
                  <w:r>
                    <w:t>59.8</w:t>
                  </w:r>
                </w:p>
              </w:tc>
              <w:tc>
                <w:tcPr>
                  <w:tcW w:w="847" w:type="dxa"/>
                  <w:vAlign w:val="center"/>
                </w:tcPr>
                <w:p>
                  <w:pPr>
                    <w:jc w:val="center"/>
                  </w:pPr>
                  <w:r>
                    <w:t>58.9</w:t>
                  </w:r>
                </w:p>
              </w:tc>
              <w:tc>
                <w:tcPr>
                  <w:tcW w:w="847" w:type="dxa"/>
                  <w:vAlign w:val="center"/>
                </w:tcPr>
                <w:p>
                  <w:pPr>
                    <w:jc w:val="center"/>
                  </w:pPr>
                  <w:r>
                    <w:t>61.0</w:t>
                  </w:r>
                </w:p>
              </w:tc>
              <w:tc>
                <w:tcPr>
                  <w:tcW w:w="1241" w:type="dxa"/>
                  <w:vAlign w:val="center"/>
                </w:tcPr>
                <w:p>
                  <w:pPr>
                    <w:jc w:val="center"/>
                    <w:rPr>
                      <w:szCs w:val="21"/>
                    </w:rPr>
                  </w:pPr>
                  <w:r>
                    <w:rPr>
                      <w:szCs w:val="21"/>
                    </w:rPr>
                    <w:t>60.3</w:t>
                  </w:r>
                </w:p>
              </w:tc>
              <w:tc>
                <w:tcPr>
                  <w:tcW w:w="850" w:type="dxa"/>
                  <w:vMerge w:val="restart"/>
                  <w:vAlign w:val="center"/>
                </w:tcPr>
                <w:p>
                  <w:pPr>
                    <w:autoSpaceDE w:val="0"/>
                    <w:autoSpaceDN w:val="0"/>
                    <w:spacing w:line="276" w:lineRule="auto"/>
                    <w:jc w:val="center"/>
                    <w:rPr>
                      <w:szCs w:val="21"/>
                    </w:rPr>
                  </w:pPr>
                  <w:r>
                    <w:rPr>
                      <w:rFonts w:hint="eastAsia"/>
                      <w:szCs w:val="21"/>
                    </w:rPr>
                    <w:t>--</w:t>
                  </w:r>
                </w:p>
              </w:tc>
              <w:tc>
                <w:tcPr>
                  <w:tcW w:w="709" w:type="dxa"/>
                  <w:vMerge w:val="restart"/>
                  <w:vAlign w:val="center"/>
                </w:tcPr>
                <w:p>
                  <w:pPr>
                    <w:spacing w:line="276" w:lineRule="auto"/>
                    <w:jc w:val="cente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continue"/>
                  <w:vAlign w:val="center"/>
                </w:tcPr>
                <w:p>
                  <w:pPr>
                    <w:spacing w:line="276" w:lineRule="auto"/>
                    <w:jc w:val="center"/>
                    <w:rPr>
                      <w:color w:val="FF0000"/>
                      <w:szCs w:val="21"/>
                    </w:rPr>
                  </w:pPr>
                </w:p>
              </w:tc>
              <w:tc>
                <w:tcPr>
                  <w:tcW w:w="1053" w:type="dxa"/>
                  <w:vMerge w:val="continue"/>
                  <w:vAlign w:val="center"/>
                </w:tcPr>
                <w:p>
                  <w:pPr>
                    <w:jc w:val="center"/>
                    <w:rPr>
                      <w:szCs w:val="21"/>
                    </w:rPr>
                  </w:pP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6</w:t>
                  </w:r>
                  <w:r>
                    <w:rPr>
                      <w:rFonts w:hint="eastAsia"/>
                      <w:bCs/>
                      <w:kern w:val="0"/>
                      <w:sz w:val="22"/>
                      <w:szCs w:val="21"/>
                    </w:rPr>
                    <w:t>.1</w:t>
                  </w:r>
                </w:p>
              </w:tc>
              <w:tc>
                <w:tcPr>
                  <w:tcW w:w="846" w:type="dxa"/>
                  <w:vAlign w:val="center"/>
                </w:tcPr>
                <w:p>
                  <w:pPr>
                    <w:jc w:val="center"/>
                  </w:pPr>
                  <w:r>
                    <w:t>84.4</w:t>
                  </w:r>
                </w:p>
              </w:tc>
              <w:tc>
                <w:tcPr>
                  <w:tcW w:w="847" w:type="dxa"/>
                  <w:vAlign w:val="center"/>
                </w:tcPr>
                <w:p>
                  <w:pPr>
                    <w:jc w:val="center"/>
                  </w:pPr>
                  <w:r>
                    <w:t>86.7</w:t>
                  </w:r>
                </w:p>
              </w:tc>
              <w:tc>
                <w:tcPr>
                  <w:tcW w:w="847" w:type="dxa"/>
                  <w:vAlign w:val="center"/>
                </w:tcPr>
                <w:p>
                  <w:pPr>
                    <w:jc w:val="center"/>
                  </w:pPr>
                  <w:r>
                    <w:t>86.9</w:t>
                  </w:r>
                </w:p>
              </w:tc>
              <w:tc>
                <w:tcPr>
                  <w:tcW w:w="847" w:type="dxa"/>
                  <w:vAlign w:val="center"/>
                </w:tcPr>
                <w:p>
                  <w:pPr>
                    <w:jc w:val="center"/>
                  </w:pPr>
                  <w:r>
                    <w:t>83.9</w:t>
                  </w:r>
                </w:p>
              </w:tc>
              <w:tc>
                <w:tcPr>
                  <w:tcW w:w="1241" w:type="dxa"/>
                  <w:vAlign w:val="center"/>
                </w:tcPr>
                <w:p>
                  <w:pPr>
                    <w:jc w:val="center"/>
                    <w:rPr>
                      <w:szCs w:val="21"/>
                    </w:rPr>
                  </w:pPr>
                  <w:r>
                    <w:rPr>
                      <w:szCs w:val="21"/>
                    </w:rPr>
                    <w:t>85.5</w:t>
                  </w:r>
                </w:p>
              </w:tc>
              <w:tc>
                <w:tcPr>
                  <w:tcW w:w="850" w:type="dxa"/>
                  <w:vMerge w:val="continue"/>
                  <w:vAlign w:val="center"/>
                </w:tcPr>
                <w:p>
                  <w:pPr>
                    <w:spacing w:line="276" w:lineRule="auto"/>
                    <w:jc w:val="center"/>
                    <w:rPr>
                      <w:szCs w:val="21"/>
                    </w:rPr>
                  </w:pPr>
                </w:p>
              </w:tc>
              <w:tc>
                <w:tcPr>
                  <w:tcW w:w="709" w:type="dxa"/>
                  <w:vMerge w:val="continue"/>
                  <w:vAlign w:val="center"/>
                </w:tcPr>
                <w:p>
                  <w:pPr>
                    <w:spacing w:line="276"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82" w:hRule="atLeast"/>
              </w:trPr>
              <w:tc>
                <w:tcPr>
                  <w:tcW w:w="650" w:type="dxa"/>
                  <w:vMerge w:val="continue"/>
                  <w:vAlign w:val="center"/>
                </w:tcPr>
                <w:p>
                  <w:pPr>
                    <w:spacing w:line="276" w:lineRule="auto"/>
                    <w:jc w:val="center"/>
                    <w:rPr>
                      <w:color w:val="FF0000"/>
                      <w:szCs w:val="21"/>
                    </w:rPr>
                  </w:pPr>
                </w:p>
              </w:tc>
              <w:tc>
                <w:tcPr>
                  <w:tcW w:w="1053" w:type="dxa"/>
                  <w:vMerge w:val="restart"/>
                  <w:vAlign w:val="center"/>
                </w:tcPr>
                <w:p>
                  <w:pPr>
                    <w:jc w:val="center"/>
                    <w:rPr>
                      <w:szCs w:val="21"/>
                    </w:rPr>
                  </w:pPr>
                  <w:r>
                    <w:t>阴离子表面活性剂</w:t>
                  </w: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5</w:t>
                  </w:r>
                  <w:r>
                    <w:rPr>
                      <w:rFonts w:hint="eastAsia"/>
                      <w:bCs/>
                      <w:kern w:val="0"/>
                      <w:sz w:val="22"/>
                      <w:szCs w:val="21"/>
                    </w:rPr>
                    <w:t>.</w:t>
                  </w:r>
                  <w:r>
                    <w:rPr>
                      <w:bCs/>
                      <w:kern w:val="0"/>
                      <w:sz w:val="22"/>
                      <w:szCs w:val="21"/>
                    </w:rPr>
                    <w:t>31</w:t>
                  </w:r>
                </w:p>
              </w:tc>
              <w:tc>
                <w:tcPr>
                  <w:tcW w:w="846" w:type="dxa"/>
                  <w:vAlign w:val="center"/>
                </w:tcPr>
                <w:p>
                  <w:pPr>
                    <w:jc w:val="center"/>
                  </w:pPr>
                  <w:r>
                    <w:t>1.22</w:t>
                  </w:r>
                </w:p>
              </w:tc>
              <w:tc>
                <w:tcPr>
                  <w:tcW w:w="847" w:type="dxa"/>
                  <w:vAlign w:val="center"/>
                </w:tcPr>
                <w:p>
                  <w:pPr>
                    <w:jc w:val="center"/>
                  </w:pPr>
                  <w:r>
                    <w:t>1.25</w:t>
                  </w:r>
                </w:p>
              </w:tc>
              <w:tc>
                <w:tcPr>
                  <w:tcW w:w="847" w:type="dxa"/>
                  <w:vAlign w:val="center"/>
                </w:tcPr>
                <w:p>
                  <w:pPr>
                    <w:jc w:val="center"/>
                  </w:pPr>
                  <w:r>
                    <w:t>1.03</w:t>
                  </w:r>
                </w:p>
              </w:tc>
              <w:tc>
                <w:tcPr>
                  <w:tcW w:w="847" w:type="dxa"/>
                  <w:vAlign w:val="center"/>
                </w:tcPr>
                <w:p>
                  <w:pPr>
                    <w:jc w:val="center"/>
                  </w:pPr>
                  <w:r>
                    <w:t>1.06</w:t>
                  </w:r>
                </w:p>
              </w:tc>
              <w:tc>
                <w:tcPr>
                  <w:tcW w:w="1241" w:type="dxa"/>
                  <w:vAlign w:val="center"/>
                </w:tcPr>
                <w:p>
                  <w:pPr>
                    <w:jc w:val="center"/>
                    <w:rPr>
                      <w:szCs w:val="21"/>
                    </w:rPr>
                  </w:pPr>
                  <w:r>
                    <w:rPr>
                      <w:szCs w:val="21"/>
                    </w:rPr>
                    <w:t>1.14</w:t>
                  </w:r>
                </w:p>
              </w:tc>
              <w:tc>
                <w:tcPr>
                  <w:tcW w:w="850" w:type="dxa"/>
                  <w:vMerge w:val="restart"/>
                  <w:vAlign w:val="center"/>
                </w:tcPr>
                <w:p>
                  <w:pPr>
                    <w:autoSpaceDE w:val="0"/>
                    <w:autoSpaceDN w:val="0"/>
                    <w:spacing w:line="276" w:lineRule="auto"/>
                    <w:jc w:val="center"/>
                    <w:rPr>
                      <w:szCs w:val="21"/>
                    </w:rPr>
                  </w:pPr>
                  <w:r>
                    <w:rPr>
                      <w:szCs w:val="21"/>
                    </w:rPr>
                    <w:t>20</w:t>
                  </w:r>
                </w:p>
              </w:tc>
              <w:tc>
                <w:tcPr>
                  <w:tcW w:w="709" w:type="dxa"/>
                  <w:vMerge w:val="restart"/>
                  <w:vAlign w:val="center"/>
                </w:tcPr>
                <w:p>
                  <w:pPr>
                    <w:spacing w:line="276" w:lineRule="auto"/>
                    <w:jc w:val="center"/>
                  </w:pPr>
                  <w:r>
                    <w:rPr>
                      <w:rFonts w:hint="eastAsia"/>
                    </w:rPr>
                    <w:t>达标</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650" w:type="dxa"/>
                  <w:vMerge w:val="continue"/>
                  <w:vAlign w:val="center"/>
                </w:tcPr>
                <w:p>
                  <w:pPr>
                    <w:spacing w:line="276" w:lineRule="auto"/>
                    <w:jc w:val="center"/>
                    <w:rPr>
                      <w:color w:val="FF0000"/>
                      <w:szCs w:val="21"/>
                    </w:rPr>
                  </w:pPr>
                </w:p>
              </w:tc>
              <w:tc>
                <w:tcPr>
                  <w:tcW w:w="1053" w:type="dxa"/>
                  <w:vMerge w:val="continue"/>
                  <w:vAlign w:val="center"/>
                </w:tcPr>
                <w:p>
                  <w:pPr>
                    <w:jc w:val="center"/>
                    <w:rPr>
                      <w:color w:val="FF0000"/>
                      <w:szCs w:val="21"/>
                    </w:rPr>
                  </w:pPr>
                </w:p>
              </w:tc>
              <w:tc>
                <w:tcPr>
                  <w:tcW w:w="1243" w:type="dxa"/>
                  <w:vAlign w:val="center"/>
                </w:tcPr>
                <w:p>
                  <w:pPr>
                    <w:tabs>
                      <w:tab w:val="left" w:pos="7740"/>
                    </w:tabs>
                    <w:autoSpaceDE w:val="0"/>
                    <w:autoSpaceDN w:val="0"/>
                    <w:jc w:val="center"/>
                    <w:rPr>
                      <w:bCs/>
                      <w:color w:val="FF0000"/>
                      <w:szCs w:val="21"/>
                    </w:rPr>
                  </w:pPr>
                  <w:r>
                    <w:rPr>
                      <w:rFonts w:hint="eastAsia"/>
                      <w:bCs/>
                      <w:kern w:val="0"/>
                      <w:sz w:val="22"/>
                      <w:szCs w:val="21"/>
                    </w:rPr>
                    <w:t>2017.</w:t>
                  </w:r>
                  <w:r>
                    <w:rPr>
                      <w:bCs/>
                      <w:kern w:val="0"/>
                      <w:sz w:val="22"/>
                      <w:szCs w:val="21"/>
                    </w:rPr>
                    <w:t>6</w:t>
                  </w:r>
                  <w:r>
                    <w:rPr>
                      <w:rFonts w:hint="eastAsia"/>
                      <w:bCs/>
                      <w:kern w:val="0"/>
                      <w:sz w:val="22"/>
                      <w:szCs w:val="21"/>
                    </w:rPr>
                    <w:t>.1</w:t>
                  </w:r>
                </w:p>
              </w:tc>
              <w:tc>
                <w:tcPr>
                  <w:tcW w:w="846" w:type="dxa"/>
                  <w:vAlign w:val="center"/>
                </w:tcPr>
                <w:p>
                  <w:pPr>
                    <w:jc w:val="center"/>
                  </w:pPr>
                  <w:r>
                    <w:t>0.92</w:t>
                  </w:r>
                </w:p>
              </w:tc>
              <w:tc>
                <w:tcPr>
                  <w:tcW w:w="847" w:type="dxa"/>
                  <w:vAlign w:val="center"/>
                </w:tcPr>
                <w:p>
                  <w:pPr>
                    <w:jc w:val="center"/>
                  </w:pPr>
                  <w:r>
                    <w:t>0.94</w:t>
                  </w:r>
                </w:p>
              </w:tc>
              <w:tc>
                <w:tcPr>
                  <w:tcW w:w="847" w:type="dxa"/>
                  <w:vAlign w:val="center"/>
                </w:tcPr>
                <w:p>
                  <w:pPr>
                    <w:jc w:val="center"/>
                  </w:pPr>
                  <w:r>
                    <w:t>0.90</w:t>
                  </w:r>
                </w:p>
              </w:tc>
              <w:tc>
                <w:tcPr>
                  <w:tcW w:w="847" w:type="dxa"/>
                  <w:vAlign w:val="center"/>
                </w:tcPr>
                <w:p>
                  <w:pPr>
                    <w:jc w:val="center"/>
                  </w:pPr>
                  <w:r>
                    <w:t>0.92</w:t>
                  </w:r>
                </w:p>
              </w:tc>
              <w:tc>
                <w:tcPr>
                  <w:tcW w:w="1241" w:type="dxa"/>
                  <w:vAlign w:val="center"/>
                </w:tcPr>
                <w:p>
                  <w:pPr>
                    <w:jc w:val="center"/>
                    <w:rPr>
                      <w:szCs w:val="21"/>
                    </w:rPr>
                  </w:pPr>
                  <w:r>
                    <w:rPr>
                      <w:szCs w:val="21"/>
                    </w:rPr>
                    <w:t>0.92</w:t>
                  </w:r>
                </w:p>
              </w:tc>
              <w:tc>
                <w:tcPr>
                  <w:tcW w:w="850" w:type="dxa"/>
                  <w:vMerge w:val="continue"/>
                  <w:vAlign w:val="center"/>
                </w:tcPr>
                <w:p>
                  <w:pPr>
                    <w:spacing w:line="276" w:lineRule="auto"/>
                    <w:jc w:val="center"/>
                    <w:rPr>
                      <w:szCs w:val="21"/>
                    </w:rPr>
                  </w:pPr>
                </w:p>
              </w:tc>
              <w:tc>
                <w:tcPr>
                  <w:tcW w:w="709" w:type="dxa"/>
                  <w:vMerge w:val="continue"/>
                  <w:vAlign w:val="center"/>
                </w:tcPr>
                <w:p>
                  <w:pPr>
                    <w:spacing w:line="276" w:lineRule="auto"/>
                    <w:jc w:val="center"/>
                    <w:rPr>
                      <w:szCs w:val="21"/>
                    </w:rPr>
                  </w:pPr>
                </w:p>
              </w:tc>
            </w:tr>
          </w:tbl>
          <w:p>
            <w:pPr>
              <w:snapToGrid w:val="0"/>
              <w:spacing w:line="276" w:lineRule="auto"/>
              <w:rPr>
                <w:sz w:val="28"/>
              </w:rPr>
            </w:pPr>
          </w:p>
          <w:p>
            <w:pPr>
              <w:snapToGrid w:val="0"/>
              <w:spacing w:line="276" w:lineRule="auto"/>
              <w:rPr>
                <w:sz w:val="28"/>
              </w:rPr>
            </w:pPr>
          </w:p>
          <w:p>
            <w:pPr>
              <w:spacing w:line="360" w:lineRule="auto"/>
              <w:rPr>
                <w:color w:val="FF0000"/>
                <w:sz w:val="28"/>
              </w:rPr>
            </w:pPr>
          </w:p>
          <w:p>
            <w:pPr>
              <w:snapToGrid w:val="0"/>
              <w:spacing w:line="276" w:lineRule="auto"/>
              <w:rPr>
                <w:sz w:val="28"/>
              </w:rPr>
            </w:pPr>
          </w:p>
        </w:tc>
      </w:tr>
    </w:tbl>
    <w:p>
      <w:pPr>
        <w:spacing w:line="240" w:lineRule="atLeast"/>
        <w:rPr>
          <w:b/>
          <w:sz w:val="28"/>
        </w:rPr>
      </w:pPr>
    </w:p>
    <w:p>
      <w:pPr>
        <w:spacing w:line="240" w:lineRule="atLeast"/>
        <w:rPr>
          <w:b/>
          <w:sz w:val="28"/>
        </w:rPr>
      </w:pPr>
      <w:r>
        <w:rPr>
          <w:b/>
          <w:sz w:val="28"/>
        </w:rPr>
        <w:t>续表四监测工况及监测结果</w:t>
      </w:r>
    </w:p>
    <w:tbl>
      <w:tblPr>
        <w:tblStyle w:val="20"/>
        <w:tblW w:w="935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981" w:hRule="atLeast"/>
          <w:jc w:val="center"/>
        </w:trPr>
        <w:tc>
          <w:tcPr>
            <w:tcW w:w="9357" w:type="dxa"/>
          </w:tcPr>
          <w:p>
            <w:pPr>
              <w:spacing w:line="360" w:lineRule="auto"/>
              <w:rPr>
                <w:b/>
                <w:sz w:val="24"/>
              </w:rPr>
            </w:pPr>
            <w:r>
              <w:rPr>
                <w:b/>
                <w:sz w:val="24"/>
              </w:rPr>
              <w:t>7、废气监测结果：</w:t>
            </w:r>
          </w:p>
          <w:p>
            <w:pPr>
              <w:adjustRightInd w:val="0"/>
              <w:snapToGrid w:val="0"/>
              <w:spacing w:line="360" w:lineRule="auto"/>
              <w:jc w:val="right"/>
              <w:rPr>
                <w:sz w:val="28"/>
              </w:rPr>
            </w:pPr>
            <w:r>
              <w:t>浓度单位：mg/m</w:t>
            </w:r>
            <w:r>
              <w:rPr>
                <w:vertAlign w:val="superscript"/>
              </w:rPr>
              <w:t>3</w:t>
            </w:r>
            <w:r>
              <w:t>；速率单位：kg/h（注明除外）</w:t>
            </w:r>
          </w:p>
          <w:tbl>
            <w:tblPr>
              <w:tblStyle w:val="20"/>
              <w:tblW w:w="920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64"/>
              <w:gridCol w:w="708"/>
              <w:gridCol w:w="1075"/>
              <w:gridCol w:w="909"/>
              <w:gridCol w:w="909"/>
              <w:gridCol w:w="909"/>
              <w:gridCol w:w="909"/>
              <w:gridCol w:w="909"/>
              <w:gridCol w:w="910"/>
              <w:gridCol w:w="603"/>
              <w:gridCol w:w="6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3" w:hRule="atLeast"/>
                <w:jc w:val="center"/>
              </w:trPr>
              <w:tc>
                <w:tcPr>
                  <w:tcW w:w="764" w:type="dxa"/>
                  <w:vMerge w:val="restart"/>
                  <w:vAlign w:val="center"/>
                </w:tcPr>
                <w:p>
                  <w:pPr>
                    <w:jc w:val="center"/>
                  </w:pPr>
                  <w:r>
                    <w:t>监测</w:t>
                  </w:r>
                </w:p>
                <w:p>
                  <w:pPr>
                    <w:jc w:val="center"/>
                  </w:pPr>
                  <w:r>
                    <w:t>点位</w:t>
                  </w:r>
                </w:p>
              </w:tc>
              <w:tc>
                <w:tcPr>
                  <w:tcW w:w="1783" w:type="dxa"/>
                  <w:gridSpan w:val="2"/>
                  <w:vMerge w:val="restart"/>
                  <w:vAlign w:val="center"/>
                </w:tcPr>
                <w:p>
                  <w:pPr>
                    <w:jc w:val="center"/>
                  </w:pPr>
                  <w:r>
                    <w:t>监测因子</w:t>
                  </w:r>
                </w:p>
              </w:tc>
              <w:tc>
                <w:tcPr>
                  <w:tcW w:w="2727" w:type="dxa"/>
                  <w:gridSpan w:val="3"/>
                  <w:vAlign w:val="center"/>
                </w:tcPr>
                <w:p>
                  <w:pPr>
                    <w:spacing w:line="276" w:lineRule="auto"/>
                    <w:jc w:val="center"/>
                  </w:pPr>
                  <w:r>
                    <w:t>2017-5-31</w:t>
                  </w:r>
                </w:p>
              </w:tc>
              <w:tc>
                <w:tcPr>
                  <w:tcW w:w="2728" w:type="dxa"/>
                  <w:gridSpan w:val="3"/>
                  <w:vAlign w:val="center"/>
                </w:tcPr>
                <w:p>
                  <w:pPr>
                    <w:spacing w:line="276" w:lineRule="auto"/>
                    <w:jc w:val="center"/>
                  </w:pPr>
                  <w:r>
                    <w:t>2017-6-1</w:t>
                  </w:r>
                </w:p>
              </w:tc>
              <w:tc>
                <w:tcPr>
                  <w:tcW w:w="603" w:type="dxa"/>
                  <w:vMerge w:val="restart"/>
                  <w:vAlign w:val="center"/>
                </w:tcPr>
                <w:p>
                  <w:pPr>
                    <w:jc w:val="center"/>
                  </w:pPr>
                  <w:r>
                    <w:t>执行</w:t>
                  </w:r>
                </w:p>
                <w:p>
                  <w:pPr>
                    <w:jc w:val="center"/>
                  </w:pPr>
                  <w:r>
                    <w:t>标准</w:t>
                  </w:r>
                </w:p>
              </w:tc>
              <w:tc>
                <w:tcPr>
                  <w:tcW w:w="604" w:type="dxa"/>
                  <w:vMerge w:val="restart"/>
                  <w:vAlign w:val="center"/>
                </w:tcPr>
                <w:p>
                  <w:pPr>
                    <w:jc w:val="center"/>
                  </w:pPr>
                  <w:r>
                    <w:t>达标</w:t>
                  </w:r>
                </w:p>
                <w:p>
                  <w:pPr>
                    <w:jc w:val="center"/>
                  </w:pPr>
                  <w: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3" w:hRule="atLeast"/>
                <w:jc w:val="center"/>
              </w:trPr>
              <w:tc>
                <w:tcPr>
                  <w:tcW w:w="764" w:type="dxa"/>
                  <w:vMerge w:val="continue"/>
                  <w:vAlign w:val="center"/>
                </w:tcPr>
                <w:p>
                  <w:pPr>
                    <w:jc w:val="center"/>
                  </w:pPr>
                </w:p>
              </w:tc>
              <w:tc>
                <w:tcPr>
                  <w:tcW w:w="1783" w:type="dxa"/>
                  <w:gridSpan w:val="2"/>
                  <w:vMerge w:val="continue"/>
                  <w:vAlign w:val="center"/>
                </w:tcPr>
                <w:p>
                  <w:pPr>
                    <w:jc w:val="center"/>
                  </w:pPr>
                </w:p>
              </w:tc>
              <w:tc>
                <w:tcPr>
                  <w:tcW w:w="909" w:type="dxa"/>
                  <w:vAlign w:val="center"/>
                </w:tcPr>
                <w:p>
                  <w:pPr>
                    <w:spacing w:line="276" w:lineRule="auto"/>
                    <w:jc w:val="center"/>
                  </w:pPr>
                  <w:r>
                    <w:t>第1次</w:t>
                  </w:r>
                </w:p>
              </w:tc>
              <w:tc>
                <w:tcPr>
                  <w:tcW w:w="909" w:type="dxa"/>
                  <w:vAlign w:val="center"/>
                </w:tcPr>
                <w:p>
                  <w:pPr>
                    <w:spacing w:line="276" w:lineRule="auto"/>
                    <w:jc w:val="center"/>
                  </w:pPr>
                  <w:r>
                    <w:t>第2次</w:t>
                  </w:r>
                </w:p>
              </w:tc>
              <w:tc>
                <w:tcPr>
                  <w:tcW w:w="909" w:type="dxa"/>
                  <w:vAlign w:val="center"/>
                </w:tcPr>
                <w:p>
                  <w:pPr>
                    <w:spacing w:line="276" w:lineRule="auto"/>
                    <w:jc w:val="center"/>
                  </w:pPr>
                  <w:r>
                    <w:t>第3次</w:t>
                  </w:r>
                </w:p>
              </w:tc>
              <w:tc>
                <w:tcPr>
                  <w:tcW w:w="909" w:type="dxa"/>
                  <w:vAlign w:val="center"/>
                </w:tcPr>
                <w:p>
                  <w:pPr>
                    <w:spacing w:line="276" w:lineRule="auto"/>
                    <w:jc w:val="center"/>
                  </w:pPr>
                  <w:r>
                    <w:t>第1次</w:t>
                  </w:r>
                </w:p>
              </w:tc>
              <w:tc>
                <w:tcPr>
                  <w:tcW w:w="909" w:type="dxa"/>
                  <w:vAlign w:val="center"/>
                </w:tcPr>
                <w:p>
                  <w:pPr>
                    <w:spacing w:line="276" w:lineRule="auto"/>
                    <w:jc w:val="center"/>
                  </w:pPr>
                  <w:r>
                    <w:t>第2次</w:t>
                  </w:r>
                </w:p>
              </w:tc>
              <w:tc>
                <w:tcPr>
                  <w:tcW w:w="910" w:type="dxa"/>
                  <w:vAlign w:val="center"/>
                </w:tcPr>
                <w:p>
                  <w:pPr>
                    <w:spacing w:line="276" w:lineRule="auto"/>
                    <w:jc w:val="center"/>
                  </w:pPr>
                  <w:r>
                    <w:t>第3次</w:t>
                  </w:r>
                </w:p>
              </w:tc>
              <w:tc>
                <w:tcPr>
                  <w:tcW w:w="603" w:type="dxa"/>
                  <w:vMerge w:val="continue"/>
                  <w:vAlign w:val="center"/>
                </w:tcPr>
                <w:p>
                  <w:pPr>
                    <w:jc w:val="center"/>
                    <w:rPr>
                      <w:color w:val="FF0000"/>
                    </w:rPr>
                  </w:pPr>
                </w:p>
              </w:tc>
              <w:tc>
                <w:tcPr>
                  <w:tcW w:w="604" w:type="dxa"/>
                  <w:vMerge w:val="continue"/>
                  <w:vAlign w:val="center"/>
                </w:tcPr>
                <w:p>
                  <w:pPr>
                    <w:jc w:val="center"/>
                    <w:rPr>
                      <w:color w:val="FF000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90" w:hRule="atLeast"/>
                <w:jc w:val="center"/>
              </w:trPr>
              <w:tc>
                <w:tcPr>
                  <w:tcW w:w="764" w:type="dxa"/>
                  <w:vMerge w:val="restart"/>
                  <w:vAlign w:val="center"/>
                </w:tcPr>
                <w:p>
                  <w:pPr>
                    <w:adjustRightInd w:val="0"/>
                    <w:snapToGrid w:val="0"/>
                    <w:jc w:val="center"/>
                    <w:rPr>
                      <w:szCs w:val="21"/>
                    </w:rPr>
                  </w:pPr>
                  <w:r>
                    <w:rPr>
                      <w:rFonts w:hint="eastAsia"/>
                      <w:szCs w:val="21"/>
                    </w:rPr>
                    <w:t>胶水工序废气处理前采样口</w:t>
                  </w:r>
                </w:p>
              </w:tc>
              <w:tc>
                <w:tcPr>
                  <w:tcW w:w="1783" w:type="dxa"/>
                  <w:gridSpan w:val="2"/>
                  <w:vAlign w:val="center"/>
                </w:tcPr>
                <w:p>
                  <w:pPr>
                    <w:spacing w:line="276" w:lineRule="auto"/>
                    <w:jc w:val="center"/>
                  </w:pPr>
                  <w:r>
                    <w:t>标况流量 (m</w:t>
                  </w:r>
                  <w:r>
                    <w:rPr>
                      <w:vertAlign w:val="superscript"/>
                    </w:rPr>
                    <w:t>3</w:t>
                  </w:r>
                  <w:r>
                    <w:t>/h)</w:t>
                  </w:r>
                </w:p>
              </w:tc>
              <w:tc>
                <w:tcPr>
                  <w:tcW w:w="909" w:type="dxa"/>
                  <w:vAlign w:val="center"/>
                </w:tcPr>
                <w:p>
                  <w:pPr>
                    <w:jc w:val="center"/>
                    <w:rPr>
                      <w:szCs w:val="21"/>
                    </w:rPr>
                  </w:pPr>
                  <w:r>
                    <w:rPr>
                      <w:szCs w:val="21"/>
                    </w:rPr>
                    <w:t>6435</w:t>
                  </w:r>
                </w:p>
              </w:tc>
              <w:tc>
                <w:tcPr>
                  <w:tcW w:w="909" w:type="dxa"/>
                  <w:vAlign w:val="center"/>
                </w:tcPr>
                <w:p>
                  <w:pPr>
                    <w:jc w:val="center"/>
                    <w:rPr>
                      <w:szCs w:val="21"/>
                    </w:rPr>
                  </w:pPr>
                  <w:r>
                    <w:rPr>
                      <w:szCs w:val="21"/>
                    </w:rPr>
                    <w:t>6192</w:t>
                  </w:r>
                </w:p>
              </w:tc>
              <w:tc>
                <w:tcPr>
                  <w:tcW w:w="909" w:type="dxa"/>
                  <w:vAlign w:val="center"/>
                </w:tcPr>
                <w:p>
                  <w:pPr>
                    <w:jc w:val="center"/>
                    <w:rPr>
                      <w:szCs w:val="21"/>
                    </w:rPr>
                  </w:pPr>
                  <w:r>
                    <w:rPr>
                      <w:szCs w:val="21"/>
                    </w:rPr>
                    <w:t>6348</w:t>
                  </w:r>
                </w:p>
              </w:tc>
              <w:tc>
                <w:tcPr>
                  <w:tcW w:w="909" w:type="dxa"/>
                  <w:vAlign w:val="center"/>
                </w:tcPr>
                <w:p>
                  <w:pPr>
                    <w:jc w:val="center"/>
                  </w:pPr>
                  <w:r>
                    <w:t>1275</w:t>
                  </w:r>
                </w:p>
              </w:tc>
              <w:tc>
                <w:tcPr>
                  <w:tcW w:w="909" w:type="dxa"/>
                  <w:vAlign w:val="center"/>
                </w:tcPr>
                <w:p>
                  <w:pPr>
                    <w:jc w:val="center"/>
                  </w:pPr>
                  <w:r>
                    <w:t>1362</w:t>
                  </w:r>
                </w:p>
              </w:tc>
              <w:tc>
                <w:tcPr>
                  <w:tcW w:w="910" w:type="dxa"/>
                  <w:vAlign w:val="center"/>
                </w:tcPr>
                <w:p>
                  <w:pPr>
                    <w:jc w:val="center"/>
                  </w:pPr>
                  <w:r>
                    <w:t>1420</w:t>
                  </w:r>
                </w:p>
              </w:tc>
              <w:tc>
                <w:tcPr>
                  <w:tcW w:w="603" w:type="dxa"/>
                  <w:vAlign w:val="center"/>
                </w:tcPr>
                <w:p>
                  <w:pPr>
                    <w:spacing w:line="276" w:lineRule="auto"/>
                    <w:jc w:val="center"/>
                  </w:pPr>
                  <w:r>
                    <w:rPr>
                      <w:rFonts w:hint="eastAsia"/>
                    </w:rPr>
                    <w:t>--</w:t>
                  </w:r>
                </w:p>
              </w:tc>
              <w:tc>
                <w:tcPr>
                  <w:tcW w:w="604" w:type="dxa"/>
                  <w:vAlign w:val="center"/>
                </w:tcPr>
                <w:p>
                  <w:pPr>
                    <w:spacing w:line="276" w:lineRule="auto"/>
                    <w:jc w:val="center"/>
                  </w:pPr>
                  <w: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3" w:hRule="atLeast"/>
                <w:jc w:val="center"/>
              </w:trPr>
              <w:tc>
                <w:tcPr>
                  <w:tcW w:w="764" w:type="dxa"/>
                  <w:vMerge w:val="continue"/>
                  <w:vAlign w:val="center"/>
                </w:tcPr>
                <w:p>
                  <w:pPr>
                    <w:adjustRightInd w:val="0"/>
                    <w:snapToGrid w:val="0"/>
                    <w:jc w:val="center"/>
                    <w:rPr>
                      <w:szCs w:val="21"/>
                    </w:rPr>
                  </w:pPr>
                </w:p>
              </w:tc>
              <w:tc>
                <w:tcPr>
                  <w:tcW w:w="708" w:type="dxa"/>
                  <w:vMerge w:val="restart"/>
                  <w:vAlign w:val="center"/>
                </w:tcPr>
                <w:p>
                  <w:pPr>
                    <w:spacing w:line="276" w:lineRule="auto"/>
                    <w:jc w:val="center"/>
                  </w:pPr>
                  <w:r>
                    <w:rPr>
                      <w:rFonts w:hint="eastAsia"/>
                    </w:rPr>
                    <w:t>非甲烷总烃</w:t>
                  </w:r>
                </w:p>
              </w:tc>
              <w:tc>
                <w:tcPr>
                  <w:tcW w:w="1075" w:type="dxa"/>
                  <w:vAlign w:val="center"/>
                </w:tcPr>
                <w:p>
                  <w:pPr>
                    <w:spacing w:line="276" w:lineRule="auto"/>
                    <w:jc w:val="center"/>
                  </w:pPr>
                  <w:r>
                    <w:t>排放浓度</w:t>
                  </w:r>
                </w:p>
              </w:tc>
              <w:tc>
                <w:tcPr>
                  <w:tcW w:w="909" w:type="dxa"/>
                  <w:vAlign w:val="center"/>
                </w:tcPr>
                <w:p>
                  <w:pPr>
                    <w:jc w:val="center"/>
                    <w:rPr>
                      <w:szCs w:val="21"/>
                    </w:rPr>
                  </w:pPr>
                  <w:r>
                    <w:rPr>
                      <w:szCs w:val="21"/>
                    </w:rPr>
                    <w:t>4.46</w:t>
                  </w:r>
                </w:p>
              </w:tc>
              <w:tc>
                <w:tcPr>
                  <w:tcW w:w="909" w:type="dxa"/>
                  <w:vAlign w:val="center"/>
                </w:tcPr>
                <w:p>
                  <w:pPr>
                    <w:jc w:val="center"/>
                    <w:rPr>
                      <w:szCs w:val="21"/>
                    </w:rPr>
                  </w:pPr>
                  <w:r>
                    <w:rPr>
                      <w:szCs w:val="21"/>
                    </w:rPr>
                    <w:t>4.80</w:t>
                  </w:r>
                </w:p>
              </w:tc>
              <w:tc>
                <w:tcPr>
                  <w:tcW w:w="909" w:type="dxa"/>
                  <w:vAlign w:val="center"/>
                </w:tcPr>
                <w:p>
                  <w:pPr>
                    <w:jc w:val="center"/>
                    <w:rPr>
                      <w:szCs w:val="21"/>
                    </w:rPr>
                  </w:pPr>
                  <w:r>
                    <w:rPr>
                      <w:szCs w:val="21"/>
                    </w:rPr>
                    <w:t>4.68</w:t>
                  </w:r>
                </w:p>
              </w:tc>
              <w:tc>
                <w:tcPr>
                  <w:tcW w:w="909" w:type="dxa"/>
                  <w:vAlign w:val="center"/>
                </w:tcPr>
                <w:p>
                  <w:pPr>
                    <w:jc w:val="center"/>
                  </w:pPr>
                  <w:r>
                    <w:t>4.69</w:t>
                  </w:r>
                </w:p>
              </w:tc>
              <w:tc>
                <w:tcPr>
                  <w:tcW w:w="909" w:type="dxa"/>
                  <w:vAlign w:val="center"/>
                </w:tcPr>
                <w:p>
                  <w:pPr>
                    <w:jc w:val="center"/>
                  </w:pPr>
                  <w:r>
                    <w:t>6.09</w:t>
                  </w:r>
                </w:p>
              </w:tc>
              <w:tc>
                <w:tcPr>
                  <w:tcW w:w="910" w:type="dxa"/>
                  <w:vAlign w:val="center"/>
                </w:tcPr>
                <w:p>
                  <w:pPr>
                    <w:jc w:val="center"/>
                  </w:pPr>
                  <w:r>
                    <w:t>4.75</w:t>
                  </w:r>
                </w:p>
              </w:tc>
              <w:tc>
                <w:tcPr>
                  <w:tcW w:w="603" w:type="dxa"/>
                  <w:vAlign w:val="center"/>
                </w:tcPr>
                <w:p>
                  <w:pPr>
                    <w:spacing w:line="276" w:lineRule="auto"/>
                    <w:jc w:val="center"/>
                  </w:pPr>
                  <w:r>
                    <w:rPr>
                      <w:rFonts w:hint="eastAsia"/>
                    </w:rPr>
                    <w:t>--</w:t>
                  </w:r>
                </w:p>
              </w:tc>
              <w:tc>
                <w:tcPr>
                  <w:tcW w:w="604" w:type="dxa"/>
                  <w:vAlign w:val="center"/>
                </w:tcPr>
                <w:p>
                  <w:pPr>
                    <w:spacing w:line="276" w:lineRule="auto"/>
                    <w:jc w:val="center"/>
                  </w:pPr>
                  <w: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3" w:hRule="atLeast"/>
                <w:jc w:val="center"/>
              </w:trPr>
              <w:tc>
                <w:tcPr>
                  <w:tcW w:w="764" w:type="dxa"/>
                  <w:vMerge w:val="continue"/>
                  <w:vAlign w:val="center"/>
                </w:tcPr>
                <w:p>
                  <w:pPr>
                    <w:adjustRightInd w:val="0"/>
                    <w:snapToGrid w:val="0"/>
                    <w:jc w:val="center"/>
                    <w:rPr>
                      <w:szCs w:val="21"/>
                    </w:rPr>
                  </w:pPr>
                </w:p>
              </w:tc>
              <w:tc>
                <w:tcPr>
                  <w:tcW w:w="708" w:type="dxa"/>
                  <w:vMerge w:val="continue"/>
                  <w:vAlign w:val="center"/>
                </w:tcPr>
                <w:p>
                  <w:pPr>
                    <w:spacing w:line="276" w:lineRule="auto"/>
                    <w:jc w:val="center"/>
                    <w:rPr>
                      <w:szCs w:val="21"/>
                    </w:rPr>
                  </w:pPr>
                </w:p>
              </w:tc>
              <w:tc>
                <w:tcPr>
                  <w:tcW w:w="1075" w:type="dxa"/>
                  <w:vAlign w:val="center"/>
                </w:tcPr>
                <w:p>
                  <w:pPr>
                    <w:spacing w:line="276" w:lineRule="auto"/>
                    <w:jc w:val="center"/>
                  </w:pPr>
                  <w:r>
                    <w:t>排放速率</w:t>
                  </w:r>
                </w:p>
              </w:tc>
              <w:tc>
                <w:tcPr>
                  <w:tcW w:w="909" w:type="dxa"/>
                  <w:vAlign w:val="center"/>
                </w:tcPr>
                <w:p>
                  <w:pPr>
                    <w:jc w:val="center"/>
                    <w:rPr>
                      <w:szCs w:val="21"/>
                    </w:rPr>
                  </w:pPr>
                  <w:r>
                    <w:rPr>
                      <w:szCs w:val="21"/>
                    </w:rPr>
                    <w:t>0.029</w:t>
                  </w:r>
                </w:p>
              </w:tc>
              <w:tc>
                <w:tcPr>
                  <w:tcW w:w="909" w:type="dxa"/>
                  <w:vAlign w:val="center"/>
                </w:tcPr>
                <w:p>
                  <w:pPr>
                    <w:jc w:val="center"/>
                    <w:rPr>
                      <w:szCs w:val="21"/>
                    </w:rPr>
                  </w:pPr>
                  <w:r>
                    <w:rPr>
                      <w:szCs w:val="21"/>
                    </w:rPr>
                    <w:t>0.030</w:t>
                  </w:r>
                </w:p>
              </w:tc>
              <w:tc>
                <w:tcPr>
                  <w:tcW w:w="909" w:type="dxa"/>
                  <w:vAlign w:val="center"/>
                </w:tcPr>
                <w:p>
                  <w:pPr>
                    <w:jc w:val="center"/>
                    <w:rPr>
                      <w:szCs w:val="21"/>
                    </w:rPr>
                  </w:pPr>
                  <w:r>
                    <w:rPr>
                      <w:szCs w:val="21"/>
                    </w:rPr>
                    <w:t>0.030</w:t>
                  </w:r>
                </w:p>
              </w:tc>
              <w:tc>
                <w:tcPr>
                  <w:tcW w:w="909" w:type="dxa"/>
                  <w:vAlign w:val="center"/>
                </w:tcPr>
                <w:p>
                  <w:pPr>
                    <w:jc w:val="center"/>
                  </w:pPr>
                  <w:r>
                    <w:t>0.029</w:t>
                  </w:r>
                </w:p>
              </w:tc>
              <w:tc>
                <w:tcPr>
                  <w:tcW w:w="909" w:type="dxa"/>
                  <w:vAlign w:val="center"/>
                </w:tcPr>
                <w:p>
                  <w:pPr>
                    <w:jc w:val="center"/>
                  </w:pPr>
                  <w:r>
                    <w:t>0.040</w:t>
                  </w:r>
                </w:p>
              </w:tc>
              <w:tc>
                <w:tcPr>
                  <w:tcW w:w="910" w:type="dxa"/>
                  <w:vAlign w:val="center"/>
                </w:tcPr>
                <w:p>
                  <w:pPr>
                    <w:jc w:val="center"/>
                  </w:pPr>
                  <w:r>
                    <w:t>0.031</w:t>
                  </w:r>
                </w:p>
              </w:tc>
              <w:tc>
                <w:tcPr>
                  <w:tcW w:w="603" w:type="dxa"/>
                  <w:vAlign w:val="center"/>
                </w:tcPr>
                <w:p>
                  <w:pPr>
                    <w:spacing w:line="276" w:lineRule="auto"/>
                    <w:jc w:val="center"/>
                  </w:pPr>
                  <w:r>
                    <w:rPr>
                      <w:rFonts w:hint="eastAsia"/>
                    </w:rPr>
                    <w:t>--</w:t>
                  </w:r>
                </w:p>
              </w:tc>
              <w:tc>
                <w:tcPr>
                  <w:tcW w:w="604" w:type="dxa"/>
                  <w:vAlign w:val="center"/>
                </w:tcPr>
                <w:p>
                  <w:pPr>
                    <w:spacing w:line="276" w:lineRule="auto"/>
                    <w:jc w:val="center"/>
                  </w:pPr>
                  <w: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3" w:hRule="atLeast"/>
                <w:jc w:val="center"/>
              </w:trPr>
              <w:tc>
                <w:tcPr>
                  <w:tcW w:w="764" w:type="dxa"/>
                  <w:vMerge w:val="restart"/>
                  <w:vAlign w:val="center"/>
                </w:tcPr>
                <w:p>
                  <w:pPr>
                    <w:adjustRightInd w:val="0"/>
                    <w:snapToGrid w:val="0"/>
                    <w:jc w:val="center"/>
                    <w:rPr>
                      <w:szCs w:val="21"/>
                    </w:rPr>
                  </w:pPr>
                  <w:r>
                    <w:rPr>
                      <w:rFonts w:hint="eastAsia"/>
                      <w:szCs w:val="21"/>
                    </w:rPr>
                    <w:t>胶水工序废气处理后采样口</w:t>
                  </w:r>
                </w:p>
              </w:tc>
              <w:tc>
                <w:tcPr>
                  <w:tcW w:w="1783" w:type="dxa"/>
                  <w:gridSpan w:val="2"/>
                  <w:vAlign w:val="center"/>
                </w:tcPr>
                <w:p>
                  <w:pPr>
                    <w:spacing w:line="276" w:lineRule="auto"/>
                    <w:jc w:val="center"/>
                  </w:pPr>
                  <w:r>
                    <w:t>标况流量 (m</w:t>
                  </w:r>
                  <w:r>
                    <w:rPr>
                      <w:vertAlign w:val="superscript"/>
                    </w:rPr>
                    <w:t>3</w:t>
                  </w:r>
                  <w:r>
                    <w:t>/h)</w:t>
                  </w:r>
                </w:p>
              </w:tc>
              <w:tc>
                <w:tcPr>
                  <w:tcW w:w="909" w:type="dxa"/>
                  <w:vAlign w:val="center"/>
                </w:tcPr>
                <w:p>
                  <w:pPr>
                    <w:jc w:val="center"/>
                    <w:rPr>
                      <w:szCs w:val="21"/>
                    </w:rPr>
                  </w:pPr>
                  <w:r>
                    <w:rPr>
                      <w:szCs w:val="21"/>
                    </w:rPr>
                    <w:t>5962</w:t>
                  </w:r>
                </w:p>
              </w:tc>
              <w:tc>
                <w:tcPr>
                  <w:tcW w:w="909" w:type="dxa"/>
                  <w:vAlign w:val="center"/>
                </w:tcPr>
                <w:p>
                  <w:pPr>
                    <w:jc w:val="center"/>
                    <w:rPr>
                      <w:szCs w:val="21"/>
                    </w:rPr>
                  </w:pPr>
                  <w:r>
                    <w:rPr>
                      <w:szCs w:val="21"/>
                    </w:rPr>
                    <w:t>5796</w:t>
                  </w:r>
                </w:p>
              </w:tc>
              <w:tc>
                <w:tcPr>
                  <w:tcW w:w="909" w:type="dxa"/>
                  <w:vAlign w:val="center"/>
                </w:tcPr>
                <w:p>
                  <w:pPr>
                    <w:jc w:val="center"/>
                    <w:rPr>
                      <w:szCs w:val="21"/>
                    </w:rPr>
                  </w:pPr>
                  <w:r>
                    <w:rPr>
                      <w:szCs w:val="21"/>
                    </w:rPr>
                    <w:t>5905</w:t>
                  </w:r>
                </w:p>
              </w:tc>
              <w:tc>
                <w:tcPr>
                  <w:tcW w:w="909" w:type="dxa"/>
                  <w:vAlign w:val="center"/>
                </w:tcPr>
                <w:p>
                  <w:pPr>
                    <w:jc w:val="center"/>
                  </w:pPr>
                  <w:r>
                    <w:t>5631</w:t>
                  </w:r>
                </w:p>
              </w:tc>
              <w:tc>
                <w:tcPr>
                  <w:tcW w:w="909" w:type="dxa"/>
                  <w:vAlign w:val="center"/>
                </w:tcPr>
                <w:p>
                  <w:pPr>
                    <w:jc w:val="center"/>
                  </w:pPr>
                  <w:r>
                    <w:t>5835</w:t>
                  </w:r>
                </w:p>
              </w:tc>
              <w:tc>
                <w:tcPr>
                  <w:tcW w:w="910" w:type="dxa"/>
                  <w:vAlign w:val="center"/>
                </w:tcPr>
                <w:p>
                  <w:pPr>
                    <w:jc w:val="center"/>
                  </w:pPr>
                  <w:r>
                    <w:t>5761</w:t>
                  </w:r>
                </w:p>
              </w:tc>
              <w:tc>
                <w:tcPr>
                  <w:tcW w:w="603" w:type="dxa"/>
                  <w:vAlign w:val="center"/>
                </w:tcPr>
                <w:p>
                  <w:pPr>
                    <w:spacing w:line="276" w:lineRule="auto"/>
                    <w:jc w:val="center"/>
                    <w:rPr>
                      <w:szCs w:val="21"/>
                    </w:rPr>
                  </w:pPr>
                  <w:r>
                    <w:rPr>
                      <w:rFonts w:hint="eastAsia"/>
                      <w:szCs w:val="21"/>
                    </w:rPr>
                    <w:t>--</w:t>
                  </w:r>
                </w:p>
              </w:tc>
              <w:tc>
                <w:tcPr>
                  <w:tcW w:w="604" w:type="dxa"/>
                  <w:vAlign w:val="center"/>
                </w:tcPr>
                <w:p>
                  <w:pPr>
                    <w:spacing w:line="276" w:lineRule="auto"/>
                    <w:jc w:val="center"/>
                    <w:rPr>
                      <w:szCs w:val="21"/>
                    </w:rPr>
                  </w:pPr>
                  <w:r>
                    <w:rPr>
                      <w:rFonts w:hint="eastAsia"/>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3" w:hRule="atLeast"/>
                <w:jc w:val="center"/>
              </w:trPr>
              <w:tc>
                <w:tcPr>
                  <w:tcW w:w="764" w:type="dxa"/>
                  <w:vMerge w:val="continue"/>
                  <w:vAlign w:val="center"/>
                </w:tcPr>
                <w:p>
                  <w:pPr>
                    <w:adjustRightInd w:val="0"/>
                    <w:snapToGrid w:val="0"/>
                    <w:jc w:val="center"/>
                    <w:rPr>
                      <w:szCs w:val="21"/>
                    </w:rPr>
                  </w:pPr>
                </w:p>
              </w:tc>
              <w:tc>
                <w:tcPr>
                  <w:tcW w:w="708" w:type="dxa"/>
                  <w:vMerge w:val="restart"/>
                  <w:vAlign w:val="center"/>
                </w:tcPr>
                <w:p>
                  <w:pPr>
                    <w:spacing w:line="276" w:lineRule="auto"/>
                    <w:jc w:val="center"/>
                    <w:rPr>
                      <w:szCs w:val="21"/>
                    </w:rPr>
                  </w:pPr>
                  <w:r>
                    <w:rPr>
                      <w:rFonts w:hint="eastAsia"/>
                    </w:rPr>
                    <w:t>非甲烷总烃</w:t>
                  </w:r>
                </w:p>
              </w:tc>
              <w:tc>
                <w:tcPr>
                  <w:tcW w:w="1075" w:type="dxa"/>
                  <w:vAlign w:val="center"/>
                </w:tcPr>
                <w:p>
                  <w:pPr>
                    <w:spacing w:line="276" w:lineRule="auto"/>
                    <w:jc w:val="center"/>
                  </w:pPr>
                  <w:r>
                    <w:t>排放浓度</w:t>
                  </w:r>
                </w:p>
              </w:tc>
              <w:tc>
                <w:tcPr>
                  <w:tcW w:w="909" w:type="dxa"/>
                  <w:vAlign w:val="center"/>
                </w:tcPr>
                <w:p>
                  <w:pPr>
                    <w:jc w:val="center"/>
                    <w:rPr>
                      <w:szCs w:val="21"/>
                    </w:rPr>
                  </w:pPr>
                  <w:r>
                    <w:rPr>
                      <w:szCs w:val="21"/>
                    </w:rPr>
                    <w:t>3.48</w:t>
                  </w:r>
                </w:p>
              </w:tc>
              <w:tc>
                <w:tcPr>
                  <w:tcW w:w="909" w:type="dxa"/>
                  <w:vAlign w:val="center"/>
                </w:tcPr>
                <w:p>
                  <w:pPr>
                    <w:jc w:val="center"/>
                    <w:rPr>
                      <w:szCs w:val="21"/>
                    </w:rPr>
                  </w:pPr>
                  <w:r>
                    <w:rPr>
                      <w:szCs w:val="21"/>
                    </w:rPr>
                    <w:t>3.27</w:t>
                  </w:r>
                </w:p>
              </w:tc>
              <w:tc>
                <w:tcPr>
                  <w:tcW w:w="909" w:type="dxa"/>
                  <w:vAlign w:val="center"/>
                </w:tcPr>
                <w:p>
                  <w:pPr>
                    <w:jc w:val="center"/>
                    <w:rPr>
                      <w:szCs w:val="21"/>
                    </w:rPr>
                  </w:pPr>
                  <w:r>
                    <w:rPr>
                      <w:szCs w:val="21"/>
                    </w:rPr>
                    <w:t>4.52</w:t>
                  </w:r>
                </w:p>
              </w:tc>
              <w:tc>
                <w:tcPr>
                  <w:tcW w:w="909" w:type="dxa"/>
                  <w:vAlign w:val="center"/>
                </w:tcPr>
                <w:p>
                  <w:pPr>
                    <w:jc w:val="center"/>
                  </w:pPr>
                  <w:r>
                    <w:t>4.49</w:t>
                  </w:r>
                </w:p>
              </w:tc>
              <w:tc>
                <w:tcPr>
                  <w:tcW w:w="909" w:type="dxa"/>
                  <w:vAlign w:val="center"/>
                </w:tcPr>
                <w:p>
                  <w:pPr>
                    <w:jc w:val="center"/>
                  </w:pPr>
                  <w:r>
                    <w:t>4.83</w:t>
                  </w:r>
                </w:p>
              </w:tc>
              <w:tc>
                <w:tcPr>
                  <w:tcW w:w="910" w:type="dxa"/>
                  <w:vAlign w:val="center"/>
                </w:tcPr>
                <w:p>
                  <w:pPr>
                    <w:jc w:val="center"/>
                  </w:pPr>
                  <w:r>
                    <w:t>3.77</w:t>
                  </w:r>
                </w:p>
              </w:tc>
              <w:tc>
                <w:tcPr>
                  <w:tcW w:w="603" w:type="dxa"/>
                  <w:vAlign w:val="center"/>
                </w:tcPr>
                <w:p>
                  <w:pPr>
                    <w:spacing w:line="276" w:lineRule="auto"/>
                    <w:jc w:val="center"/>
                    <w:rPr>
                      <w:szCs w:val="21"/>
                    </w:rPr>
                  </w:pPr>
                  <w:r>
                    <w:rPr>
                      <w:rFonts w:hint="eastAsia"/>
                      <w:szCs w:val="21"/>
                    </w:rPr>
                    <w:t>120</w:t>
                  </w:r>
                </w:p>
              </w:tc>
              <w:tc>
                <w:tcPr>
                  <w:tcW w:w="604" w:type="dxa"/>
                  <w:vAlign w:val="center"/>
                </w:tcPr>
                <w:p>
                  <w:pPr>
                    <w:spacing w:line="276" w:lineRule="auto"/>
                    <w:jc w:val="center"/>
                    <w:rPr>
                      <w:szCs w:val="21"/>
                    </w:rPr>
                  </w:pPr>
                  <w: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63" w:hRule="atLeast"/>
                <w:jc w:val="center"/>
              </w:trPr>
              <w:tc>
                <w:tcPr>
                  <w:tcW w:w="764" w:type="dxa"/>
                  <w:vMerge w:val="continue"/>
                  <w:vAlign w:val="center"/>
                </w:tcPr>
                <w:p>
                  <w:pPr>
                    <w:adjustRightInd w:val="0"/>
                    <w:snapToGrid w:val="0"/>
                    <w:jc w:val="center"/>
                    <w:rPr>
                      <w:szCs w:val="21"/>
                    </w:rPr>
                  </w:pPr>
                </w:p>
              </w:tc>
              <w:tc>
                <w:tcPr>
                  <w:tcW w:w="708" w:type="dxa"/>
                  <w:vMerge w:val="continue"/>
                  <w:vAlign w:val="center"/>
                </w:tcPr>
                <w:p>
                  <w:pPr>
                    <w:spacing w:line="276" w:lineRule="auto"/>
                    <w:jc w:val="center"/>
                    <w:rPr>
                      <w:szCs w:val="21"/>
                    </w:rPr>
                  </w:pPr>
                </w:p>
              </w:tc>
              <w:tc>
                <w:tcPr>
                  <w:tcW w:w="1075" w:type="dxa"/>
                  <w:vAlign w:val="center"/>
                </w:tcPr>
                <w:p>
                  <w:pPr>
                    <w:spacing w:line="276" w:lineRule="auto"/>
                    <w:jc w:val="center"/>
                  </w:pPr>
                  <w:r>
                    <w:t>排放速率</w:t>
                  </w:r>
                </w:p>
              </w:tc>
              <w:tc>
                <w:tcPr>
                  <w:tcW w:w="909" w:type="dxa"/>
                  <w:vAlign w:val="center"/>
                </w:tcPr>
                <w:p>
                  <w:pPr>
                    <w:jc w:val="center"/>
                    <w:rPr>
                      <w:szCs w:val="21"/>
                    </w:rPr>
                  </w:pPr>
                  <w:r>
                    <w:rPr>
                      <w:szCs w:val="21"/>
                    </w:rPr>
                    <w:t>0.021</w:t>
                  </w:r>
                </w:p>
              </w:tc>
              <w:tc>
                <w:tcPr>
                  <w:tcW w:w="909" w:type="dxa"/>
                  <w:vAlign w:val="center"/>
                </w:tcPr>
                <w:p>
                  <w:pPr>
                    <w:jc w:val="center"/>
                    <w:rPr>
                      <w:szCs w:val="21"/>
                    </w:rPr>
                  </w:pPr>
                  <w:r>
                    <w:rPr>
                      <w:szCs w:val="21"/>
                    </w:rPr>
                    <w:t>0.019</w:t>
                  </w:r>
                </w:p>
              </w:tc>
              <w:tc>
                <w:tcPr>
                  <w:tcW w:w="909" w:type="dxa"/>
                  <w:vAlign w:val="center"/>
                </w:tcPr>
                <w:p>
                  <w:pPr>
                    <w:jc w:val="center"/>
                    <w:rPr>
                      <w:szCs w:val="21"/>
                    </w:rPr>
                  </w:pPr>
                  <w:r>
                    <w:rPr>
                      <w:szCs w:val="21"/>
                    </w:rPr>
                    <w:t>0.027</w:t>
                  </w:r>
                </w:p>
              </w:tc>
              <w:tc>
                <w:tcPr>
                  <w:tcW w:w="909" w:type="dxa"/>
                  <w:vAlign w:val="center"/>
                </w:tcPr>
                <w:p>
                  <w:pPr>
                    <w:jc w:val="center"/>
                  </w:pPr>
                  <w:r>
                    <w:t>0.025</w:t>
                  </w:r>
                </w:p>
              </w:tc>
              <w:tc>
                <w:tcPr>
                  <w:tcW w:w="909" w:type="dxa"/>
                  <w:vAlign w:val="center"/>
                </w:tcPr>
                <w:p>
                  <w:pPr>
                    <w:jc w:val="center"/>
                  </w:pPr>
                  <w:r>
                    <w:t>0.028</w:t>
                  </w:r>
                </w:p>
              </w:tc>
              <w:tc>
                <w:tcPr>
                  <w:tcW w:w="910" w:type="dxa"/>
                  <w:vAlign w:val="center"/>
                </w:tcPr>
                <w:p>
                  <w:pPr>
                    <w:jc w:val="center"/>
                  </w:pPr>
                  <w:r>
                    <w:t>0.022</w:t>
                  </w:r>
                </w:p>
              </w:tc>
              <w:tc>
                <w:tcPr>
                  <w:tcW w:w="603" w:type="dxa"/>
                  <w:vAlign w:val="center"/>
                </w:tcPr>
                <w:p>
                  <w:pPr>
                    <w:spacing w:line="276" w:lineRule="auto"/>
                    <w:jc w:val="center"/>
                    <w:rPr>
                      <w:szCs w:val="21"/>
                    </w:rPr>
                  </w:pPr>
                  <w:r>
                    <w:rPr>
                      <w:szCs w:val="21"/>
                    </w:rPr>
                    <w:t>60</w:t>
                  </w:r>
                </w:p>
              </w:tc>
              <w:tc>
                <w:tcPr>
                  <w:tcW w:w="604" w:type="dxa"/>
                  <w:vAlign w:val="center"/>
                </w:tcPr>
                <w:p>
                  <w:pPr>
                    <w:spacing w:line="276" w:lineRule="auto"/>
                    <w:jc w:val="center"/>
                    <w:rPr>
                      <w:szCs w:val="21"/>
                    </w:rPr>
                  </w:pPr>
                  <w:r>
                    <w:rPr>
                      <w:szCs w:val="21"/>
                    </w:rPr>
                    <w:t>达标</w:t>
                  </w:r>
                </w:p>
              </w:tc>
            </w:tr>
          </w:tbl>
          <w:p>
            <w:pPr>
              <w:adjustRightInd w:val="0"/>
              <w:snapToGrid w:val="0"/>
              <w:spacing w:line="360" w:lineRule="auto"/>
              <w:jc w:val="right"/>
            </w:pPr>
          </w:p>
          <w:p>
            <w:pPr>
              <w:tabs>
                <w:tab w:val="left" w:pos="8063"/>
              </w:tabs>
              <w:ind w:right="420"/>
              <w:rPr>
                <w:szCs w:val="21"/>
              </w:rPr>
            </w:pPr>
            <w:r>
              <w:rPr>
                <w:szCs w:val="21"/>
              </w:rPr>
              <w:t>注： 1、废气排气筒高度为34米。</w:t>
            </w:r>
          </w:p>
          <w:p>
            <w:pPr>
              <w:spacing w:line="276" w:lineRule="auto"/>
              <w:ind w:firstLine="525" w:firstLineChars="250"/>
              <w:rPr>
                <w:szCs w:val="21"/>
              </w:rPr>
            </w:pPr>
          </w:p>
        </w:tc>
      </w:tr>
      <w:bookmarkEnd w:id="8"/>
    </w:tbl>
    <w:p>
      <w:pPr>
        <w:spacing w:line="240" w:lineRule="atLeast"/>
        <w:rPr>
          <w:b/>
          <w:sz w:val="28"/>
        </w:rPr>
      </w:pPr>
    </w:p>
    <w:p>
      <w:pPr>
        <w:pStyle w:val="6"/>
        <w:spacing w:before="11"/>
        <w:rPr>
          <w:b/>
          <w:sz w:val="28"/>
        </w:rPr>
      </w:pPr>
      <w:r>
        <w:rPr>
          <w:b/>
          <w:sz w:val="28"/>
        </w:rPr>
        <w:t>续表四监测工况及监测结果</w:t>
      </w:r>
    </w:p>
    <w:tbl>
      <w:tblPr>
        <w:tblStyle w:val="20"/>
        <w:tblW w:w="940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097" w:hRule="atLeast"/>
          <w:jc w:val="center"/>
        </w:trPr>
        <w:tc>
          <w:tcPr>
            <w:tcW w:w="9408" w:type="dxa"/>
          </w:tcPr>
          <w:p>
            <w:pPr>
              <w:spacing w:line="360" w:lineRule="auto"/>
              <w:rPr>
                <w:b/>
                <w:sz w:val="24"/>
              </w:rPr>
            </w:pPr>
            <w:r>
              <w:rPr>
                <w:b/>
                <w:sz w:val="24"/>
              </w:rPr>
              <w:t>8、噪声监测结果：</w:t>
            </w:r>
          </w:p>
          <w:p>
            <w:pPr>
              <w:adjustRightInd w:val="0"/>
              <w:jc w:val="left"/>
              <w:rPr>
                <w:sz w:val="24"/>
              </w:rPr>
            </w:pPr>
            <w:r>
              <w:rPr>
                <w:sz w:val="24"/>
              </w:rPr>
              <w:t>201</w:t>
            </w:r>
            <w:r>
              <w:rPr>
                <w:rFonts w:hint="eastAsia"/>
                <w:sz w:val="24"/>
              </w:rPr>
              <w:t>7</w:t>
            </w:r>
            <w:r>
              <w:rPr>
                <w:sz w:val="24"/>
              </w:rPr>
              <w:t>-5-31  天气状况：晴，监测期间最大风速：</w:t>
            </w:r>
            <w:r>
              <w:rPr>
                <w:rFonts w:hint="eastAsia"/>
                <w:sz w:val="24"/>
              </w:rPr>
              <w:t>1.</w:t>
            </w:r>
            <w:r>
              <w:rPr>
                <w:sz w:val="24"/>
              </w:rPr>
              <w:t>2m/s。</w:t>
            </w:r>
          </w:p>
          <w:tbl>
            <w:tblPr>
              <w:tblStyle w:val="20"/>
              <w:tblW w:w="907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3"/>
              <w:gridCol w:w="2097"/>
              <w:gridCol w:w="1669"/>
              <w:gridCol w:w="1455"/>
              <w:gridCol w:w="1372"/>
              <w:gridCol w:w="14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634" w:hRule="atLeast"/>
                <w:jc w:val="center"/>
              </w:trPr>
              <w:tc>
                <w:tcPr>
                  <w:tcW w:w="1023" w:type="dxa"/>
                  <w:vAlign w:val="center"/>
                </w:tcPr>
                <w:p>
                  <w:pPr>
                    <w:jc w:val="center"/>
                  </w:pPr>
                  <w:r>
                    <w:t>监测点位编号</w:t>
                  </w:r>
                </w:p>
              </w:tc>
              <w:tc>
                <w:tcPr>
                  <w:tcW w:w="2097" w:type="dxa"/>
                  <w:vAlign w:val="center"/>
                </w:tcPr>
                <w:p>
                  <w:pPr>
                    <w:jc w:val="center"/>
                  </w:pPr>
                  <w:r>
                    <w:t>监测时段</w:t>
                  </w:r>
                </w:p>
              </w:tc>
              <w:tc>
                <w:tcPr>
                  <w:tcW w:w="1669" w:type="dxa"/>
                  <w:vAlign w:val="center"/>
                </w:tcPr>
                <w:p>
                  <w:pPr>
                    <w:adjustRightInd w:val="0"/>
                    <w:jc w:val="center"/>
                    <w:rPr>
                      <w:szCs w:val="21"/>
                    </w:rPr>
                  </w:pPr>
                  <w:r>
                    <w:rPr>
                      <w:szCs w:val="21"/>
                    </w:rPr>
                    <w:t>测量值</w:t>
                  </w:r>
                </w:p>
              </w:tc>
              <w:tc>
                <w:tcPr>
                  <w:tcW w:w="1455" w:type="dxa"/>
                  <w:vAlign w:val="center"/>
                </w:tcPr>
                <w:p>
                  <w:pPr>
                    <w:adjustRightInd w:val="0"/>
                    <w:jc w:val="center"/>
                    <w:rPr>
                      <w:szCs w:val="21"/>
                    </w:rPr>
                  </w:pPr>
                  <w:r>
                    <w:rPr>
                      <w:szCs w:val="21"/>
                    </w:rPr>
                    <w:t>标准值</w:t>
                  </w:r>
                </w:p>
              </w:tc>
              <w:tc>
                <w:tcPr>
                  <w:tcW w:w="1372" w:type="dxa"/>
                  <w:vAlign w:val="center"/>
                </w:tcPr>
                <w:p>
                  <w:pPr>
                    <w:jc w:val="center"/>
                  </w:pPr>
                  <w:r>
                    <w:t>结果评价</w:t>
                  </w:r>
                </w:p>
              </w:tc>
              <w:tc>
                <w:tcPr>
                  <w:tcW w:w="1455" w:type="dxa"/>
                  <w:vAlign w:val="center"/>
                </w:tcPr>
                <w:p>
                  <w:pPr>
                    <w:adjustRightInd w:val="0"/>
                    <w:jc w:val="center"/>
                  </w:pPr>
                  <w:r>
                    <w:rPr>
                      <w:szCs w:val="21"/>
                    </w:rPr>
                    <w:t>主要噪声来源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161" w:hRule="atLeast"/>
                <w:jc w:val="center"/>
              </w:trPr>
              <w:tc>
                <w:tcPr>
                  <w:tcW w:w="1023" w:type="dxa"/>
                  <w:vAlign w:val="center"/>
                </w:tcPr>
                <w:p>
                  <w:pPr>
                    <w:jc w:val="center"/>
                    <w:rPr>
                      <w:szCs w:val="21"/>
                    </w:rPr>
                  </w:pPr>
                  <w:r>
                    <w:rPr>
                      <w:szCs w:val="21"/>
                    </w:rPr>
                    <w:t>▲1#</w:t>
                  </w:r>
                </w:p>
              </w:tc>
              <w:tc>
                <w:tcPr>
                  <w:tcW w:w="2097" w:type="dxa"/>
                  <w:vAlign w:val="center"/>
                </w:tcPr>
                <w:p>
                  <w:pPr>
                    <w:jc w:val="center"/>
                  </w:pPr>
                  <w:r>
                    <w:t>10:22～10:27</w:t>
                  </w:r>
                </w:p>
              </w:tc>
              <w:tc>
                <w:tcPr>
                  <w:tcW w:w="1669" w:type="dxa"/>
                  <w:vAlign w:val="center"/>
                </w:tcPr>
                <w:p>
                  <w:pPr>
                    <w:jc w:val="center"/>
                  </w:pPr>
                  <w:r>
                    <w:t>61</w:t>
                  </w:r>
                </w:p>
              </w:tc>
              <w:tc>
                <w:tcPr>
                  <w:tcW w:w="1455" w:type="dxa"/>
                  <w:vAlign w:val="center"/>
                </w:tcPr>
                <w:p>
                  <w:pPr>
                    <w:jc w:val="center"/>
                  </w:pPr>
                  <w:r>
                    <w:t>65</w:t>
                  </w:r>
                </w:p>
              </w:tc>
              <w:tc>
                <w:tcPr>
                  <w:tcW w:w="1372" w:type="dxa"/>
                  <w:vAlign w:val="center"/>
                </w:tcPr>
                <w:p>
                  <w:pPr>
                    <w:jc w:val="center"/>
                  </w:pPr>
                  <w:r>
                    <w:t>达标</w:t>
                  </w:r>
                </w:p>
              </w:tc>
              <w:tc>
                <w:tcPr>
                  <w:tcW w:w="1455" w:type="dxa"/>
                  <w:vAlign w:val="center"/>
                </w:tcPr>
                <w:p>
                  <w:pPr>
                    <w:jc w:val="center"/>
                  </w:pPr>
                  <w:r>
                    <w:t>生产噪声</w:t>
                  </w:r>
                </w:p>
              </w:tc>
            </w:tr>
            <w:tr>
              <w:tblPrEx>
                <w:tblLayout w:type="fixed"/>
                <w:tblCellMar>
                  <w:top w:w="0" w:type="dxa"/>
                  <w:left w:w="28" w:type="dxa"/>
                  <w:bottom w:w="0" w:type="dxa"/>
                  <w:right w:w="28" w:type="dxa"/>
                </w:tblCellMar>
              </w:tblPrEx>
              <w:trPr>
                <w:cantSplit/>
                <w:trHeight w:val="198" w:hRule="atLeast"/>
                <w:jc w:val="center"/>
              </w:trPr>
              <w:tc>
                <w:tcPr>
                  <w:tcW w:w="1023" w:type="dxa"/>
                  <w:vAlign w:val="center"/>
                </w:tcPr>
                <w:p>
                  <w:pPr>
                    <w:jc w:val="center"/>
                    <w:rPr>
                      <w:szCs w:val="21"/>
                    </w:rPr>
                  </w:pPr>
                  <w:r>
                    <w:rPr>
                      <w:szCs w:val="21"/>
                    </w:rPr>
                    <w:t>▲2#</w:t>
                  </w:r>
                </w:p>
              </w:tc>
              <w:tc>
                <w:tcPr>
                  <w:tcW w:w="2097" w:type="dxa"/>
                  <w:vAlign w:val="center"/>
                </w:tcPr>
                <w:p>
                  <w:pPr>
                    <w:jc w:val="center"/>
                  </w:pPr>
                  <w:r>
                    <w:t>10:33～10:38</w:t>
                  </w:r>
                </w:p>
              </w:tc>
              <w:tc>
                <w:tcPr>
                  <w:tcW w:w="1669" w:type="dxa"/>
                  <w:vAlign w:val="center"/>
                </w:tcPr>
                <w:p>
                  <w:pPr>
                    <w:jc w:val="center"/>
                  </w:pPr>
                  <w:r>
                    <w:t>62</w:t>
                  </w:r>
                </w:p>
              </w:tc>
              <w:tc>
                <w:tcPr>
                  <w:tcW w:w="1455" w:type="dxa"/>
                  <w:vAlign w:val="center"/>
                </w:tcPr>
                <w:p>
                  <w:pPr>
                    <w:jc w:val="center"/>
                  </w:pPr>
                  <w:r>
                    <w:t>65</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1023" w:type="dxa"/>
                  <w:vAlign w:val="center"/>
                </w:tcPr>
                <w:p>
                  <w:pPr>
                    <w:jc w:val="center"/>
                    <w:rPr>
                      <w:szCs w:val="21"/>
                    </w:rPr>
                  </w:pPr>
                  <w:r>
                    <w:rPr>
                      <w:szCs w:val="21"/>
                    </w:rPr>
                    <w:t>▲3#</w:t>
                  </w:r>
                </w:p>
              </w:tc>
              <w:tc>
                <w:tcPr>
                  <w:tcW w:w="2097" w:type="dxa"/>
                  <w:vAlign w:val="center"/>
                </w:tcPr>
                <w:p>
                  <w:pPr>
                    <w:jc w:val="center"/>
                  </w:pPr>
                  <w:r>
                    <w:t>10:41～10:46</w:t>
                  </w:r>
                </w:p>
              </w:tc>
              <w:tc>
                <w:tcPr>
                  <w:tcW w:w="1669" w:type="dxa"/>
                  <w:vAlign w:val="center"/>
                </w:tcPr>
                <w:p>
                  <w:pPr>
                    <w:jc w:val="center"/>
                  </w:pPr>
                  <w:r>
                    <w:t>61</w:t>
                  </w:r>
                </w:p>
              </w:tc>
              <w:tc>
                <w:tcPr>
                  <w:tcW w:w="1455" w:type="dxa"/>
                  <w:vAlign w:val="center"/>
                </w:tcPr>
                <w:p>
                  <w:pPr>
                    <w:jc w:val="center"/>
                  </w:pPr>
                  <w:r>
                    <w:t>65</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1023" w:type="dxa"/>
                  <w:vAlign w:val="center"/>
                </w:tcPr>
                <w:p>
                  <w:pPr>
                    <w:jc w:val="center"/>
                    <w:rPr>
                      <w:szCs w:val="21"/>
                    </w:rPr>
                  </w:pPr>
                  <w:r>
                    <w:rPr>
                      <w:szCs w:val="21"/>
                    </w:rPr>
                    <w:t>▲4#</w:t>
                  </w:r>
                </w:p>
              </w:tc>
              <w:tc>
                <w:tcPr>
                  <w:tcW w:w="2097" w:type="dxa"/>
                  <w:vAlign w:val="center"/>
                </w:tcPr>
                <w:p>
                  <w:pPr>
                    <w:jc w:val="center"/>
                  </w:pPr>
                  <w:r>
                    <w:t>10:49～10:54</w:t>
                  </w:r>
                </w:p>
              </w:tc>
              <w:tc>
                <w:tcPr>
                  <w:tcW w:w="1669" w:type="dxa"/>
                  <w:vAlign w:val="center"/>
                </w:tcPr>
                <w:p>
                  <w:pPr>
                    <w:jc w:val="center"/>
                  </w:pPr>
                  <w:r>
                    <w:t>62</w:t>
                  </w:r>
                </w:p>
              </w:tc>
              <w:tc>
                <w:tcPr>
                  <w:tcW w:w="1455" w:type="dxa"/>
                  <w:vAlign w:val="center"/>
                </w:tcPr>
                <w:p>
                  <w:pPr>
                    <w:jc w:val="center"/>
                  </w:pPr>
                  <w:r>
                    <w:t>65</w:t>
                  </w:r>
                </w:p>
              </w:tc>
              <w:tc>
                <w:tcPr>
                  <w:tcW w:w="1372" w:type="dxa"/>
                  <w:vAlign w:val="center"/>
                </w:tcPr>
                <w:p>
                  <w:pPr>
                    <w:jc w:val="center"/>
                  </w:pPr>
                  <w:r>
                    <w:t>达标</w:t>
                  </w:r>
                </w:p>
              </w:tc>
              <w:tc>
                <w:tcPr>
                  <w:tcW w:w="1455" w:type="dxa"/>
                  <w:vAlign w:val="center"/>
                </w:tcPr>
                <w:p>
                  <w:pPr>
                    <w:jc w:val="center"/>
                  </w:pPr>
                  <w:r>
                    <w:t>生产噪声</w:t>
                  </w:r>
                </w:p>
              </w:tc>
            </w:tr>
          </w:tbl>
          <w:p>
            <w:pPr>
              <w:adjustRightInd w:val="0"/>
              <w:jc w:val="center"/>
              <w:rPr>
                <w:color w:val="FF0000"/>
                <w:sz w:val="24"/>
              </w:rPr>
            </w:pPr>
          </w:p>
          <w:p>
            <w:pPr>
              <w:adjustRightInd w:val="0"/>
              <w:jc w:val="left"/>
              <w:rPr>
                <w:sz w:val="24"/>
              </w:rPr>
            </w:pPr>
            <w:r>
              <w:rPr>
                <w:sz w:val="24"/>
              </w:rPr>
              <w:t>201</w:t>
            </w:r>
            <w:r>
              <w:rPr>
                <w:rFonts w:hint="eastAsia"/>
                <w:sz w:val="24"/>
              </w:rPr>
              <w:t>7</w:t>
            </w:r>
            <w:r>
              <w:rPr>
                <w:sz w:val="24"/>
              </w:rPr>
              <w:t>-4-</w:t>
            </w:r>
            <w:r>
              <w:rPr>
                <w:rFonts w:hint="eastAsia"/>
                <w:sz w:val="24"/>
              </w:rPr>
              <w:t>1</w:t>
            </w:r>
            <w:r>
              <w:rPr>
                <w:sz w:val="24"/>
              </w:rPr>
              <w:t>8  天气状况：晴，监测期间最大风速：</w:t>
            </w:r>
            <w:r>
              <w:rPr>
                <w:rFonts w:hint="eastAsia"/>
                <w:sz w:val="24"/>
              </w:rPr>
              <w:t>1.</w:t>
            </w:r>
            <w:r>
              <w:rPr>
                <w:sz w:val="24"/>
              </w:rPr>
              <w:t>5m/s。</w:t>
            </w:r>
          </w:p>
          <w:tbl>
            <w:tblPr>
              <w:tblStyle w:val="20"/>
              <w:tblW w:w="907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3"/>
              <w:gridCol w:w="2097"/>
              <w:gridCol w:w="1669"/>
              <w:gridCol w:w="1455"/>
              <w:gridCol w:w="1372"/>
              <w:gridCol w:w="14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634" w:hRule="atLeast"/>
                <w:jc w:val="center"/>
              </w:trPr>
              <w:tc>
                <w:tcPr>
                  <w:tcW w:w="1023" w:type="dxa"/>
                  <w:vAlign w:val="center"/>
                </w:tcPr>
                <w:p>
                  <w:pPr>
                    <w:jc w:val="center"/>
                  </w:pPr>
                  <w:r>
                    <w:t>监测点位编号</w:t>
                  </w:r>
                </w:p>
              </w:tc>
              <w:tc>
                <w:tcPr>
                  <w:tcW w:w="2097" w:type="dxa"/>
                  <w:vAlign w:val="center"/>
                </w:tcPr>
                <w:p>
                  <w:pPr>
                    <w:jc w:val="center"/>
                  </w:pPr>
                  <w:r>
                    <w:t>监测时段</w:t>
                  </w:r>
                </w:p>
              </w:tc>
              <w:tc>
                <w:tcPr>
                  <w:tcW w:w="1669" w:type="dxa"/>
                  <w:vAlign w:val="center"/>
                </w:tcPr>
                <w:p>
                  <w:pPr>
                    <w:adjustRightInd w:val="0"/>
                    <w:jc w:val="center"/>
                    <w:rPr>
                      <w:szCs w:val="21"/>
                    </w:rPr>
                  </w:pPr>
                  <w:r>
                    <w:rPr>
                      <w:szCs w:val="21"/>
                    </w:rPr>
                    <w:t>测量值</w:t>
                  </w:r>
                </w:p>
              </w:tc>
              <w:tc>
                <w:tcPr>
                  <w:tcW w:w="1455" w:type="dxa"/>
                  <w:vAlign w:val="center"/>
                </w:tcPr>
                <w:p>
                  <w:pPr>
                    <w:adjustRightInd w:val="0"/>
                    <w:jc w:val="center"/>
                    <w:rPr>
                      <w:szCs w:val="21"/>
                    </w:rPr>
                  </w:pPr>
                  <w:r>
                    <w:rPr>
                      <w:szCs w:val="21"/>
                    </w:rPr>
                    <w:t>标准值</w:t>
                  </w:r>
                </w:p>
              </w:tc>
              <w:tc>
                <w:tcPr>
                  <w:tcW w:w="1372" w:type="dxa"/>
                  <w:vAlign w:val="center"/>
                </w:tcPr>
                <w:p>
                  <w:pPr>
                    <w:jc w:val="center"/>
                  </w:pPr>
                  <w:r>
                    <w:t>结果评价</w:t>
                  </w:r>
                </w:p>
              </w:tc>
              <w:tc>
                <w:tcPr>
                  <w:tcW w:w="1455" w:type="dxa"/>
                  <w:vAlign w:val="center"/>
                </w:tcPr>
                <w:p>
                  <w:pPr>
                    <w:adjustRightInd w:val="0"/>
                    <w:jc w:val="center"/>
                  </w:pPr>
                  <w:r>
                    <w:rPr>
                      <w:szCs w:val="21"/>
                    </w:rPr>
                    <w:t>主要噪声来源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161" w:hRule="atLeast"/>
                <w:jc w:val="center"/>
              </w:trPr>
              <w:tc>
                <w:tcPr>
                  <w:tcW w:w="1023" w:type="dxa"/>
                  <w:vAlign w:val="center"/>
                </w:tcPr>
                <w:p>
                  <w:pPr>
                    <w:jc w:val="center"/>
                    <w:rPr>
                      <w:szCs w:val="21"/>
                    </w:rPr>
                  </w:pPr>
                  <w:r>
                    <w:rPr>
                      <w:szCs w:val="21"/>
                    </w:rPr>
                    <w:t>▲1#</w:t>
                  </w:r>
                </w:p>
              </w:tc>
              <w:tc>
                <w:tcPr>
                  <w:tcW w:w="2097" w:type="dxa"/>
                  <w:vAlign w:val="center"/>
                </w:tcPr>
                <w:p>
                  <w:pPr>
                    <w:jc w:val="center"/>
                  </w:pPr>
                  <w:r>
                    <w:t>09:33～09:38</w:t>
                  </w:r>
                </w:p>
              </w:tc>
              <w:tc>
                <w:tcPr>
                  <w:tcW w:w="1669" w:type="dxa"/>
                  <w:vAlign w:val="center"/>
                </w:tcPr>
                <w:p>
                  <w:pPr>
                    <w:jc w:val="center"/>
                  </w:pPr>
                  <w:r>
                    <w:t>61</w:t>
                  </w:r>
                </w:p>
              </w:tc>
              <w:tc>
                <w:tcPr>
                  <w:tcW w:w="1455" w:type="dxa"/>
                  <w:vAlign w:val="center"/>
                </w:tcPr>
                <w:p>
                  <w:pPr>
                    <w:jc w:val="center"/>
                  </w:pPr>
                  <w:r>
                    <w:t>65</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198" w:hRule="atLeast"/>
                <w:jc w:val="center"/>
              </w:trPr>
              <w:tc>
                <w:tcPr>
                  <w:tcW w:w="1023" w:type="dxa"/>
                  <w:vAlign w:val="center"/>
                </w:tcPr>
                <w:p>
                  <w:pPr>
                    <w:jc w:val="center"/>
                    <w:rPr>
                      <w:szCs w:val="21"/>
                    </w:rPr>
                  </w:pPr>
                  <w:r>
                    <w:rPr>
                      <w:szCs w:val="21"/>
                    </w:rPr>
                    <w:t>▲2#</w:t>
                  </w:r>
                </w:p>
              </w:tc>
              <w:tc>
                <w:tcPr>
                  <w:tcW w:w="2097" w:type="dxa"/>
                  <w:vAlign w:val="center"/>
                </w:tcPr>
                <w:p>
                  <w:pPr>
                    <w:jc w:val="center"/>
                  </w:pPr>
                  <w:r>
                    <w:t>09:41～09:46</w:t>
                  </w:r>
                </w:p>
              </w:tc>
              <w:tc>
                <w:tcPr>
                  <w:tcW w:w="1669" w:type="dxa"/>
                  <w:vAlign w:val="center"/>
                </w:tcPr>
                <w:p>
                  <w:pPr>
                    <w:jc w:val="center"/>
                  </w:pPr>
                  <w:r>
                    <w:t>63</w:t>
                  </w:r>
                </w:p>
              </w:tc>
              <w:tc>
                <w:tcPr>
                  <w:tcW w:w="1455" w:type="dxa"/>
                  <w:vAlign w:val="center"/>
                </w:tcPr>
                <w:p>
                  <w:pPr>
                    <w:jc w:val="center"/>
                  </w:pPr>
                  <w:r>
                    <w:t>65</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1023" w:type="dxa"/>
                  <w:vAlign w:val="center"/>
                </w:tcPr>
                <w:p>
                  <w:pPr>
                    <w:jc w:val="center"/>
                    <w:rPr>
                      <w:szCs w:val="21"/>
                    </w:rPr>
                  </w:pPr>
                  <w:r>
                    <w:rPr>
                      <w:szCs w:val="21"/>
                    </w:rPr>
                    <w:t>▲3#</w:t>
                  </w:r>
                </w:p>
              </w:tc>
              <w:tc>
                <w:tcPr>
                  <w:tcW w:w="2097" w:type="dxa"/>
                  <w:vAlign w:val="center"/>
                </w:tcPr>
                <w:p>
                  <w:pPr>
                    <w:jc w:val="center"/>
                  </w:pPr>
                  <w:r>
                    <w:t>09:49～09:54</w:t>
                  </w:r>
                </w:p>
              </w:tc>
              <w:tc>
                <w:tcPr>
                  <w:tcW w:w="1669" w:type="dxa"/>
                  <w:vAlign w:val="center"/>
                </w:tcPr>
                <w:p>
                  <w:pPr>
                    <w:jc w:val="center"/>
                  </w:pPr>
                  <w:r>
                    <w:t>61</w:t>
                  </w:r>
                </w:p>
              </w:tc>
              <w:tc>
                <w:tcPr>
                  <w:tcW w:w="1455" w:type="dxa"/>
                  <w:vAlign w:val="center"/>
                </w:tcPr>
                <w:p>
                  <w:pPr>
                    <w:jc w:val="center"/>
                  </w:pPr>
                  <w:r>
                    <w:t>65</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1023" w:type="dxa"/>
                  <w:vAlign w:val="center"/>
                </w:tcPr>
                <w:p>
                  <w:pPr>
                    <w:jc w:val="center"/>
                    <w:rPr>
                      <w:szCs w:val="21"/>
                    </w:rPr>
                  </w:pPr>
                  <w:r>
                    <w:rPr>
                      <w:szCs w:val="21"/>
                    </w:rPr>
                    <w:t>▲4#</w:t>
                  </w:r>
                </w:p>
              </w:tc>
              <w:tc>
                <w:tcPr>
                  <w:tcW w:w="2097" w:type="dxa"/>
                  <w:vAlign w:val="center"/>
                </w:tcPr>
                <w:p>
                  <w:pPr>
                    <w:jc w:val="center"/>
                  </w:pPr>
                  <w:r>
                    <w:t>09:58～10:03</w:t>
                  </w:r>
                </w:p>
              </w:tc>
              <w:tc>
                <w:tcPr>
                  <w:tcW w:w="1669" w:type="dxa"/>
                  <w:vAlign w:val="center"/>
                </w:tcPr>
                <w:p>
                  <w:pPr>
                    <w:jc w:val="center"/>
                  </w:pPr>
                  <w:r>
                    <w:t>61</w:t>
                  </w:r>
                </w:p>
              </w:tc>
              <w:tc>
                <w:tcPr>
                  <w:tcW w:w="1455" w:type="dxa"/>
                  <w:vAlign w:val="center"/>
                </w:tcPr>
                <w:p>
                  <w:pPr>
                    <w:jc w:val="center"/>
                  </w:pPr>
                  <w:r>
                    <w:t>65</w:t>
                  </w:r>
                </w:p>
              </w:tc>
              <w:tc>
                <w:tcPr>
                  <w:tcW w:w="1372" w:type="dxa"/>
                  <w:vAlign w:val="center"/>
                </w:tcPr>
                <w:p>
                  <w:pPr>
                    <w:jc w:val="center"/>
                  </w:pPr>
                  <w:r>
                    <w:t>达标</w:t>
                  </w:r>
                </w:p>
              </w:tc>
              <w:tc>
                <w:tcPr>
                  <w:tcW w:w="1455" w:type="dxa"/>
                  <w:vAlign w:val="center"/>
                </w:tcPr>
                <w:p>
                  <w:pPr>
                    <w:jc w:val="center"/>
                  </w:pPr>
                  <w:r>
                    <w:t>生产噪声</w:t>
                  </w:r>
                </w:p>
              </w:tc>
            </w:tr>
          </w:tbl>
          <w:p>
            <w:pPr>
              <w:spacing w:line="360" w:lineRule="auto"/>
              <w:rPr>
                <w:b/>
                <w:sz w:val="24"/>
              </w:rPr>
            </w:pPr>
          </w:p>
          <w:p>
            <w:pPr>
              <w:spacing w:line="360" w:lineRule="auto"/>
              <w:rPr>
                <w:b/>
                <w:sz w:val="24"/>
              </w:rPr>
            </w:pPr>
            <w:r>
              <w:rPr>
                <w:b/>
                <w:sz w:val="24"/>
              </w:rPr>
              <w:t>9、污染排放总量控制</w:t>
            </w:r>
          </w:p>
          <w:p>
            <w:pPr>
              <w:widowControl/>
              <w:spacing w:line="360" w:lineRule="auto"/>
              <w:ind w:firstLine="480" w:firstLineChars="200"/>
              <w:jc w:val="left"/>
              <w:rPr>
                <w:rFonts w:ascii="宋体" w:hAnsi="宋体" w:cs="宋体"/>
                <w:kern w:val="0"/>
                <w:sz w:val="24"/>
              </w:rPr>
            </w:pPr>
            <w:r>
              <w:rPr>
                <w:rFonts w:ascii="宋体" w:hAnsi="宋体" w:cs="宋体"/>
                <w:kern w:val="0"/>
                <w:sz w:val="24"/>
              </w:rPr>
              <w:t>环评批复对该项目</w:t>
            </w:r>
            <w:r>
              <w:rPr>
                <w:rFonts w:hint="eastAsia" w:ascii="宋体" w:hAnsi="宋体" w:cs="宋体"/>
                <w:kern w:val="0"/>
                <w:sz w:val="24"/>
              </w:rPr>
              <w:t>未</w:t>
            </w:r>
            <w:r>
              <w:rPr>
                <w:rFonts w:ascii="宋体" w:hAnsi="宋体" w:cs="宋体"/>
                <w:kern w:val="0"/>
                <w:sz w:val="24"/>
              </w:rPr>
              <w:t>作总量控制要求。</w:t>
            </w:r>
          </w:p>
          <w:p>
            <w:pPr>
              <w:spacing w:line="360" w:lineRule="auto"/>
              <w:rPr>
                <w:sz w:val="28"/>
              </w:rPr>
            </w:pPr>
          </w:p>
        </w:tc>
      </w:tr>
    </w:tbl>
    <w:p>
      <w:pPr>
        <w:spacing w:line="360" w:lineRule="auto"/>
        <w:rPr>
          <w:b/>
          <w:sz w:val="28"/>
        </w:rPr>
      </w:pPr>
    </w:p>
    <w:p>
      <w:pPr>
        <w:spacing w:line="360" w:lineRule="auto"/>
        <w:rPr>
          <w:b/>
          <w:sz w:val="28"/>
        </w:rPr>
      </w:pPr>
      <w:r>
        <w:rPr>
          <w:b/>
          <w:sz w:val="28"/>
        </w:rPr>
        <w:t>表五环境管理检查</w:t>
      </w:r>
    </w:p>
    <w:tbl>
      <w:tblPr>
        <w:tblStyle w:val="20"/>
        <w:tblW w:w="940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097" w:hRule="atLeast"/>
          <w:jc w:val="center"/>
        </w:trPr>
        <w:tc>
          <w:tcPr>
            <w:tcW w:w="9408" w:type="dxa"/>
          </w:tcPr>
          <w:p>
            <w:pPr>
              <w:spacing w:line="460" w:lineRule="exact"/>
              <w:rPr>
                <w:b/>
                <w:sz w:val="24"/>
              </w:rPr>
            </w:pPr>
            <w:r>
              <w:rPr>
                <w:b/>
                <w:sz w:val="24"/>
              </w:rPr>
              <w:t>1、执行国家建设项目环境管理制度的情况</w:t>
            </w:r>
          </w:p>
          <w:p>
            <w:pPr>
              <w:spacing w:line="430" w:lineRule="exact"/>
              <w:ind w:firstLine="480" w:firstLineChars="200"/>
              <w:rPr>
                <w:bCs/>
                <w:sz w:val="24"/>
              </w:rPr>
            </w:pPr>
            <w:r>
              <w:rPr>
                <w:kern w:val="0"/>
                <w:sz w:val="24"/>
              </w:rPr>
              <w:t>项目执行了环境影响评价制度，2016年3</w:t>
            </w:r>
            <w:r>
              <w:rPr>
                <w:rFonts w:hint="eastAsia"/>
                <w:kern w:val="0"/>
                <w:sz w:val="24"/>
              </w:rPr>
              <w:t>月</w:t>
            </w:r>
            <w:r>
              <w:rPr>
                <w:kern w:val="0"/>
                <w:sz w:val="24"/>
              </w:rPr>
              <w:t>委托</w:t>
            </w:r>
            <w:r>
              <w:rPr>
                <w:bCs/>
                <w:sz w:val="24"/>
                <w:szCs w:val="36"/>
              </w:rPr>
              <w:t>重庆市环境保护工程设计研究院有限公司</w:t>
            </w:r>
            <w:r>
              <w:rPr>
                <w:kern w:val="0"/>
                <w:sz w:val="24"/>
              </w:rPr>
              <w:t>完成了环评报告表的编制，2016年5月取得了环境影响报告表的审批意见，</w:t>
            </w:r>
            <w:r>
              <w:rPr>
                <w:sz w:val="24"/>
                <w:szCs w:val="52"/>
              </w:rPr>
              <w:t>《深圳市</w:t>
            </w:r>
            <w:r>
              <w:rPr>
                <w:rFonts w:hint="eastAsia"/>
                <w:sz w:val="24"/>
                <w:szCs w:val="52"/>
              </w:rPr>
              <w:t>盐田区环境保护局</w:t>
            </w:r>
            <w:r>
              <w:rPr>
                <w:sz w:val="24"/>
                <w:szCs w:val="52"/>
              </w:rPr>
              <w:t>建设项目环境影响</w:t>
            </w:r>
            <w:r>
              <w:rPr>
                <w:rFonts w:hint="eastAsia"/>
                <w:sz w:val="24"/>
                <w:szCs w:val="52"/>
              </w:rPr>
              <w:t>审查批复</w:t>
            </w:r>
            <w:r>
              <w:rPr>
                <w:sz w:val="24"/>
                <w:szCs w:val="52"/>
              </w:rPr>
              <w:t>》</w:t>
            </w:r>
            <w:r>
              <w:rPr>
                <w:rFonts w:hint="eastAsia"/>
                <w:sz w:val="24"/>
                <w:szCs w:val="52"/>
              </w:rPr>
              <w:t>深盐环批[20</w:t>
            </w:r>
            <w:r>
              <w:rPr>
                <w:sz w:val="24"/>
                <w:szCs w:val="52"/>
              </w:rPr>
              <w:t>16</w:t>
            </w:r>
            <w:r>
              <w:rPr>
                <w:rFonts w:hint="eastAsia"/>
                <w:sz w:val="24"/>
                <w:szCs w:val="52"/>
              </w:rPr>
              <w:t>]800</w:t>
            </w:r>
            <w:r>
              <w:rPr>
                <w:sz w:val="24"/>
                <w:szCs w:val="52"/>
              </w:rPr>
              <w:t>17号</w:t>
            </w:r>
            <w:r>
              <w:rPr>
                <w:kern w:val="0"/>
                <w:sz w:val="24"/>
              </w:rPr>
              <w:t>，符合相关法律法规的要求。</w:t>
            </w:r>
          </w:p>
          <w:p>
            <w:pPr>
              <w:spacing w:line="460" w:lineRule="exact"/>
              <w:rPr>
                <w:b/>
                <w:sz w:val="24"/>
              </w:rPr>
            </w:pPr>
            <w:r>
              <w:rPr>
                <w:b/>
                <w:sz w:val="24"/>
              </w:rPr>
              <w:t>2、环境管理制度的建立、执行情况</w:t>
            </w:r>
          </w:p>
          <w:p>
            <w:pPr>
              <w:autoSpaceDE w:val="0"/>
              <w:autoSpaceDN w:val="0"/>
              <w:adjustRightInd w:val="0"/>
              <w:spacing w:line="460" w:lineRule="exact"/>
              <w:ind w:firstLine="480" w:firstLineChars="200"/>
              <w:rPr>
                <w:kern w:val="0"/>
                <w:sz w:val="24"/>
              </w:rPr>
            </w:pPr>
            <w:r>
              <w:rPr>
                <w:rFonts w:hint="eastAsia"/>
                <w:kern w:val="0"/>
                <w:sz w:val="24"/>
              </w:rPr>
              <w:t>公司</w:t>
            </w:r>
            <w:r>
              <w:rPr>
                <w:kern w:val="0"/>
                <w:sz w:val="24"/>
              </w:rPr>
              <w:t>制定有</w:t>
            </w:r>
            <w:r>
              <w:rPr>
                <w:rFonts w:hint="eastAsia"/>
                <w:kern w:val="0"/>
                <w:sz w:val="24"/>
              </w:rPr>
              <w:t>相关环境保护制度</w:t>
            </w:r>
            <w:r>
              <w:rPr>
                <w:kern w:val="0"/>
                <w:sz w:val="24"/>
              </w:rPr>
              <w:t>，安排专门的环境安全管理人员</w:t>
            </w:r>
            <w:r>
              <w:rPr>
                <w:rFonts w:hint="eastAsia"/>
                <w:kern w:val="0"/>
                <w:sz w:val="24"/>
              </w:rPr>
              <w:t>，</w:t>
            </w:r>
            <w:r>
              <w:rPr>
                <w:kern w:val="0"/>
                <w:sz w:val="24"/>
              </w:rPr>
              <w:t>至今没有发生过环境安全事故。</w:t>
            </w:r>
          </w:p>
          <w:p>
            <w:pPr>
              <w:spacing w:line="460" w:lineRule="exact"/>
              <w:rPr>
                <w:b/>
                <w:sz w:val="24"/>
              </w:rPr>
            </w:pPr>
            <w:r>
              <w:rPr>
                <w:b/>
                <w:sz w:val="24"/>
              </w:rPr>
              <w:t>3、环保设施投资、运行及维护情况</w:t>
            </w:r>
          </w:p>
          <w:p>
            <w:pPr>
              <w:adjustRightInd w:val="0"/>
              <w:spacing w:line="460" w:lineRule="exact"/>
              <w:ind w:firstLine="480" w:firstLineChars="200"/>
              <w:rPr>
                <w:sz w:val="24"/>
              </w:rPr>
            </w:pPr>
            <w:r>
              <w:rPr>
                <w:sz w:val="24"/>
              </w:rPr>
              <w:t>项目实际总投资700万元，其中环保投资为24万元，环保投资占总投资的3</w:t>
            </w:r>
            <w:r>
              <w:rPr>
                <w:rFonts w:hint="eastAsia"/>
                <w:sz w:val="24"/>
              </w:rPr>
              <w:t>.</w:t>
            </w:r>
            <w:r>
              <w:rPr>
                <w:sz w:val="24"/>
              </w:rPr>
              <w:t>4%。</w:t>
            </w:r>
          </w:p>
          <w:p>
            <w:pPr>
              <w:spacing w:line="360" w:lineRule="auto"/>
              <w:ind w:firstLine="480" w:firstLineChars="200"/>
              <w:rPr>
                <w:b/>
                <w:kern w:val="0"/>
                <w:sz w:val="24"/>
              </w:rPr>
            </w:pPr>
            <w:r>
              <w:rPr>
                <w:kern w:val="0"/>
                <w:sz w:val="24"/>
              </w:rPr>
              <w:t>项目产生的生活污水经化粪池处理后接入市政管网，汇入盐田污水处理厂处理后排放</w:t>
            </w:r>
            <w:r>
              <w:rPr>
                <w:rFonts w:hint="eastAsia"/>
                <w:kern w:val="0"/>
                <w:sz w:val="24"/>
              </w:rPr>
              <w:t>,</w:t>
            </w:r>
            <w:r>
              <w:rPr>
                <w:rFonts w:hint="eastAsia"/>
                <w:sz w:val="24"/>
                <w:lang w:val="en-GB"/>
              </w:rPr>
              <w:t>。</w:t>
            </w:r>
          </w:p>
          <w:p>
            <w:pPr>
              <w:spacing w:line="360" w:lineRule="auto"/>
              <w:ind w:firstLine="480" w:firstLineChars="200"/>
              <w:rPr>
                <w:b/>
                <w:kern w:val="0"/>
                <w:sz w:val="24"/>
              </w:rPr>
            </w:pPr>
            <w:r>
              <w:rPr>
                <w:rFonts w:hint="eastAsia"/>
                <w:kern w:val="0"/>
                <w:sz w:val="24"/>
                <w:lang w:val="en-GB"/>
              </w:rPr>
              <w:t>工业废气：胶水工序废气有相关的环保设备进行处理后高空排放。</w:t>
            </w:r>
            <w:r>
              <w:rPr>
                <w:b/>
                <w:kern w:val="0"/>
                <w:sz w:val="24"/>
              </w:rPr>
              <w:t xml:space="preserve"> </w:t>
            </w:r>
          </w:p>
          <w:p>
            <w:pPr>
              <w:spacing w:line="460" w:lineRule="exact"/>
              <w:rPr>
                <w:b/>
                <w:sz w:val="24"/>
              </w:rPr>
            </w:pPr>
            <w:r>
              <w:rPr>
                <w:b/>
                <w:sz w:val="24"/>
              </w:rPr>
              <w:t>4、固体废物产生、处理处置情况</w:t>
            </w:r>
          </w:p>
          <w:p>
            <w:pPr>
              <w:spacing w:line="360" w:lineRule="auto"/>
              <w:ind w:firstLine="480" w:firstLineChars="200"/>
              <w:rPr>
                <w:sz w:val="24"/>
              </w:rPr>
            </w:pPr>
            <w:r>
              <w:rPr>
                <w:rFonts w:hint="eastAsia"/>
                <w:sz w:val="24"/>
              </w:rPr>
              <w:t xml:space="preserve">(1) </w:t>
            </w:r>
            <w:r>
              <w:rPr>
                <w:sz w:val="24"/>
              </w:rPr>
              <w:t>生活垃圾：设置生活垃圾收集场所或容器，并做到生活垃圾收集容器化，生活垃圾的收集与转运应并入当地环卫管理系统统一安排。</w:t>
            </w:r>
          </w:p>
          <w:p>
            <w:pPr>
              <w:spacing w:line="360" w:lineRule="auto"/>
              <w:ind w:firstLine="472" w:firstLineChars="200"/>
              <w:rPr>
                <w:spacing w:val="-2"/>
                <w:sz w:val="24"/>
              </w:rPr>
            </w:pPr>
            <w:r>
              <w:rPr>
                <w:rFonts w:hint="eastAsia"/>
                <w:spacing w:val="-2"/>
                <w:sz w:val="24"/>
              </w:rPr>
              <w:t>(2) 一般</w:t>
            </w:r>
            <w:r>
              <w:rPr>
                <w:spacing w:val="-2"/>
                <w:sz w:val="24"/>
              </w:rPr>
              <w:t>工业废物：</w:t>
            </w:r>
            <w:r>
              <w:rPr>
                <w:rFonts w:hint="eastAsia" w:ascii="Calibri" w:hAnsi="Calibri"/>
                <w:spacing w:val="-2"/>
                <w:sz w:val="24"/>
              </w:rPr>
              <w:t>项目一般工业固废主要为</w:t>
            </w:r>
            <w:r>
              <w:rPr>
                <w:rFonts w:hint="eastAsia"/>
                <w:bCs/>
                <w:sz w:val="24"/>
              </w:rPr>
              <w:t>生产过程中产生废包装材料、废布料、废纸品等</w:t>
            </w:r>
            <w:r>
              <w:rPr>
                <w:rFonts w:hint="eastAsia" w:ascii="Calibri" w:hAnsi="Calibri"/>
                <w:spacing w:val="-2"/>
                <w:sz w:val="24"/>
              </w:rPr>
              <w:t>，</w:t>
            </w:r>
            <w:r>
              <w:rPr>
                <w:spacing w:val="-2"/>
                <w:sz w:val="24"/>
              </w:rPr>
              <w:t>具有回收价值，收集后交给专门的物资回收公司回收利用，实现资源化，减少废弃物排放。</w:t>
            </w:r>
          </w:p>
          <w:p>
            <w:pPr>
              <w:widowControl/>
              <w:spacing w:line="360" w:lineRule="auto"/>
              <w:ind w:firstLine="560" w:firstLineChars="200"/>
              <w:jc w:val="left"/>
              <w:rPr>
                <w:sz w:val="28"/>
              </w:rPr>
            </w:pPr>
          </w:p>
        </w:tc>
      </w:tr>
    </w:tbl>
    <w:p>
      <w:pPr>
        <w:spacing w:line="360" w:lineRule="auto"/>
        <w:rPr>
          <w:b/>
          <w:sz w:val="28"/>
        </w:rPr>
      </w:pPr>
    </w:p>
    <w:tbl>
      <w:tblPr>
        <w:tblStyle w:val="20"/>
        <w:tblpPr w:leftFromText="180" w:rightFromText="180" w:vertAnchor="text" w:horzAnchor="margin" w:tblpY="467"/>
        <w:tblW w:w="933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858" w:hRule="atLeast"/>
          <w:tblHeader/>
        </w:trPr>
        <w:tc>
          <w:tcPr>
            <w:tcW w:w="9338" w:type="dxa"/>
          </w:tcPr>
          <w:p>
            <w:pPr>
              <w:spacing w:line="360" w:lineRule="auto"/>
              <w:ind w:firstLine="420" w:firstLineChars="200"/>
              <w:jc w:val="center"/>
              <w:rPr>
                <w:spacing w:val="-2"/>
                <w:sz w:val="24"/>
              </w:rPr>
            </w:pPr>
            <w:r>
              <w:drawing>
                <wp:inline distT="0" distB="0" distL="0" distR="0">
                  <wp:extent cx="2660015" cy="3549015"/>
                  <wp:effectExtent l="0" t="0" r="6985" b="0"/>
                  <wp:docPr id="9" name="图片 9" descr="C:\Users\jcott\AppData\Local\Microsoft\Windows\INetCache\Content.Word\new image - g12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cott\AppData\Local\Microsoft\Windows\INetCache\Content.Word\new image - g12s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60400" cy="3549600"/>
                          </a:xfrm>
                          <a:prstGeom prst="rect">
                            <a:avLst/>
                          </a:prstGeom>
                          <a:noFill/>
                          <a:ln>
                            <a:noFill/>
                          </a:ln>
                        </pic:spPr>
                      </pic:pic>
                    </a:graphicData>
                  </a:graphic>
                </wp:inline>
              </w:drawing>
            </w:r>
          </w:p>
          <w:p>
            <w:pPr>
              <w:spacing w:line="360" w:lineRule="auto"/>
              <w:ind w:firstLine="414" w:firstLineChars="200"/>
              <w:jc w:val="center"/>
              <w:rPr>
                <w:b/>
                <w:spacing w:val="-2"/>
                <w:szCs w:val="21"/>
              </w:rPr>
            </w:pPr>
            <w:r>
              <w:rPr>
                <w:rFonts w:hint="eastAsia" w:ascii="Calibri" w:hAnsi="Calibri"/>
                <w:b/>
                <w:spacing w:val="-2"/>
                <w:szCs w:val="21"/>
              </w:rPr>
              <w:t>一般工业固废</w:t>
            </w:r>
            <w:r>
              <w:rPr>
                <w:b/>
                <w:spacing w:val="-2"/>
                <w:szCs w:val="21"/>
              </w:rPr>
              <w:t>收集</w:t>
            </w:r>
          </w:p>
          <w:p>
            <w:pPr>
              <w:spacing w:line="360" w:lineRule="auto"/>
              <w:ind w:firstLine="480" w:firstLineChars="200"/>
              <w:rPr>
                <w:rFonts w:ascii="Calibri" w:hAnsi="Calibri"/>
                <w:kern w:val="0"/>
                <w:sz w:val="24"/>
              </w:rPr>
            </w:pPr>
            <w:r>
              <w:rPr>
                <w:rFonts w:hint="eastAsia"/>
                <w:sz w:val="24"/>
              </w:rPr>
              <w:t>(</w:t>
            </w:r>
            <w:r>
              <w:rPr>
                <w:sz w:val="24"/>
              </w:rPr>
              <w:t>3</w:t>
            </w:r>
            <w:r>
              <w:rPr>
                <w:rFonts w:hint="eastAsia"/>
                <w:sz w:val="24"/>
              </w:rPr>
              <w:t xml:space="preserve">) </w:t>
            </w:r>
            <w:r>
              <w:rPr>
                <w:sz w:val="24"/>
              </w:rPr>
              <w:t>危险废物：</w:t>
            </w:r>
            <w:r>
              <w:rPr>
                <w:rFonts w:hint="eastAsia"/>
                <w:sz w:val="24"/>
              </w:rPr>
              <w:t>项目危险废物主要有废胶桶、胶渣</w:t>
            </w:r>
            <w:r>
              <w:rPr>
                <w:rFonts w:hint="eastAsia"/>
                <w:bCs/>
                <w:sz w:val="24"/>
              </w:rPr>
              <w:t>（HW13</w:t>
            </w:r>
            <w:r>
              <w:rPr>
                <w:rFonts w:hint="eastAsia"/>
                <w:sz w:val="24"/>
              </w:rPr>
              <w:t>）和废活性碳（HW49），项目产生的危险废物应有专人管</w:t>
            </w:r>
            <w:r>
              <w:rPr>
                <w:rFonts w:hint="eastAsia" w:ascii="Calibri" w:hAnsi="Calibri"/>
                <w:kern w:val="0"/>
                <w:sz w:val="24"/>
              </w:rPr>
              <w:t>理，定点集中收集</w:t>
            </w:r>
            <w:r>
              <w:rPr>
                <w:rFonts w:ascii="Calibri" w:hAnsi="Calibri"/>
                <w:kern w:val="0"/>
                <w:sz w:val="24"/>
              </w:rPr>
              <w:t xml:space="preserve"> </w:t>
            </w:r>
            <w:r>
              <w:rPr>
                <w:rFonts w:hint="eastAsia" w:ascii="Calibri" w:hAnsi="Calibri"/>
                <w:kern w:val="0"/>
                <w:sz w:val="24"/>
              </w:rPr>
              <w:t>，项目将此部分危险废物定期</w:t>
            </w:r>
            <w:r>
              <w:rPr>
                <w:rFonts w:ascii="Calibri" w:hAnsi="Calibri"/>
                <w:kern w:val="0"/>
                <w:sz w:val="24"/>
              </w:rPr>
              <w:t>交由深圳市</w:t>
            </w:r>
            <w:r>
              <w:rPr>
                <w:rFonts w:hint="eastAsia" w:ascii="Calibri" w:hAnsi="Calibri"/>
                <w:kern w:val="0"/>
                <w:sz w:val="24"/>
              </w:rPr>
              <w:t>宝安东江环保技术有限公司进行进行处理处置</w:t>
            </w:r>
            <w:r>
              <w:rPr>
                <w:sz w:val="24"/>
              </w:rPr>
              <w:t>，并持危险废物转移处理协议和转移联单。</w:t>
            </w:r>
          </w:p>
          <w:p>
            <w:pPr>
              <w:autoSpaceDE w:val="0"/>
              <w:autoSpaceDN w:val="0"/>
              <w:adjustRightInd w:val="0"/>
              <w:spacing w:line="460" w:lineRule="exact"/>
              <w:jc w:val="left"/>
              <w:rPr>
                <w:b/>
                <w:sz w:val="24"/>
              </w:rPr>
            </w:pPr>
            <w:r>
              <w:rPr>
                <w:b/>
                <w:sz w:val="24"/>
              </w:rPr>
              <w:t>5、污染物排放口规范化情况</w:t>
            </w:r>
          </w:p>
          <w:p>
            <w:pPr>
              <w:adjustRightInd w:val="0"/>
              <w:spacing w:line="460" w:lineRule="exact"/>
              <w:ind w:firstLine="480" w:firstLineChars="200"/>
              <w:rPr>
                <w:kern w:val="0"/>
                <w:sz w:val="24"/>
              </w:rPr>
            </w:pPr>
            <w:r>
              <w:rPr>
                <w:sz w:val="24"/>
              </w:rPr>
              <w:t>项目排放的污染物主要有废水、废气、噪声。现有废水排放口1个，符合《污水综合排放标准》（GB8978-1996）和《水质采样方案设计技术规定》（HJ495-2009）相关要求；现有废气排放口1个，采样口设计及采样平台设置均符合《固定源废气监测技术规范》（HJ/T397-2007）</w:t>
            </w:r>
            <w:r>
              <w:rPr>
                <w:rFonts w:hint="eastAsia"/>
                <w:sz w:val="24"/>
              </w:rPr>
              <w:t>。</w:t>
            </w:r>
          </w:p>
          <w:p>
            <w:pPr>
              <w:autoSpaceDE w:val="0"/>
              <w:autoSpaceDN w:val="0"/>
              <w:adjustRightInd w:val="0"/>
              <w:spacing w:line="460" w:lineRule="exact"/>
              <w:jc w:val="left"/>
              <w:rPr>
                <w:b/>
                <w:sz w:val="24"/>
              </w:rPr>
            </w:pPr>
            <w:r>
              <w:rPr>
                <w:b/>
                <w:sz w:val="24"/>
              </w:rPr>
              <w:t>6、环境风险防范、应急预案的建立及执行情况</w:t>
            </w:r>
          </w:p>
          <w:p>
            <w:pPr>
              <w:autoSpaceDE w:val="0"/>
              <w:autoSpaceDN w:val="0"/>
              <w:adjustRightInd w:val="0"/>
              <w:spacing w:line="460" w:lineRule="exact"/>
              <w:jc w:val="left"/>
              <w:rPr>
                <w:sz w:val="24"/>
              </w:rPr>
            </w:pPr>
            <w:r>
              <w:rPr>
                <w:rFonts w:hint="eastAsia"/>
                <w:kern w:val="0"/>
                <w:sz w:val="24"/>
                <w:szCs w:val="22"/>
              </w:rPr>
              <w:t>项目无重大环境危险源</w:t>
            </w:r>
            <w:r>
              <w:rPr>
                <w:kern w:val="0"/>
                <w:sz w:val="24"/>
                <w:szCs w:val="22"/>
              </w:rPr>
              <w:t>，</w:t>
            </w:r>
            <w:r>
              <w:rPr>
                <w:bCs/>
                <w:sz w:val="24"/>
              </w:rPr>
              <w:t>其潜在的环境风险影响不大</w:t>
            </w:r>
            <w:r>
              <w:rPr>
                <w:rFonts w:hint="eastAsia"/>
                <w:bCs/>
                <w:sz w:val="24"/>
              </w:rPr>
              <w:t>，未编制环境风险防范、应急预案</w:t>
            </w:r>
            <w:r>
              <w:rPr>
                <w:kern w:val="0"/>
                <w:sz w:val="24"/>
                <w:szCs w:val="22"/>
              </w:rPr>
              <w:t>。</w:t>
            </w:r>
          </w:p>
          <w:p>
            <w:pPr>
              <w:autoSpaceDE w:val="0"/>
              <w:autoSpaceDN w:val="0"/>
              <w:adjustRightInd w:val="0"/>
              <w:spacing w:line="440" w:lineRule="exact"/>
              <w:jc w:val="left"/>
              <w:rPr>
                <w:b/>
                <w:sz w:val="24"/>
              </w:rPr>
            </w:pPr>
            <w:r>
              <w:rPr>
                <w:b/>
                <w:sz w:val="24"/>
              </w:rPr>
              <w:t>7</w:t>
            </w:r>
            <w:r>
              <w:rPr>
                <w:rFonts w:hint="eastAsia"/>
                <w:b/>
                <w:sz w:val="24"/>
              </w:rPr>
              <w:t>、</w:t>
            </w:r>
            <w:r>
              <w:rPr>
                <w:b/>
                <w:sz w:val="24"/>
              </w:rPr>
              <w:t>项目清洁生产</w:t>
            </w:r>
          </w:p>
          <w:p>
            <w:pPr>
              <w:spacing w:line="360" w:lineRule="auto"/>
              <w:ind w:firstLine="480" w:firstLineChars="200"/>
              <w:rPr>
                <w:rFonts w:ascii="Calibri" w:hAnsi="Calibri"/>
                <w:sz w:val="24"/>
              </w:rPr>
            </w:pPr>
            <w:r>
              <w:rPr>
                <w:sz w:val="24"/>
              </w:rPr>
              <w:t>本项目采用的生产</w:t>
            </w:r>
            <w:r>
              <w:rPr>
                <w:kern w:val="0"/>
                <w:sz w:val="24"/>
              </w:rPr>
              <w:t>工艺属国内同行采用的主流工艺，其生产工艺的生产管理、原材料消耗、能耗及排污指标与国内技术比较而言，居于先进水平，</w:t>
            </w:r>
            <w:r>
              <w:rPr>
                <w:sz w:val="24"/>
              </w:rPr>
              <w:t>总体来说本项目的清洁生产水平为国内先进水平。</w:t>
            </w:r>
            <w:r>
              <w:rPr>
                <w:rFonts w:hint="eastAsia" w:ascii="Calibri" w:hAnsi="Calibri"/>
                <w:sz w:val="24"/>
              </w:rPr>
              <w:t xml:space="preserve"> </w:t>
            </w:r>
          </w:p>
          <w:p>
            <w:pPr>
              <w:autoSpaceDE w:val="0"/>
              <w:autoSpaceDN w:val="0"/>
              <w:adjustRightInd w:val="0"/>
              <w:spacing w:line="440" w:lineRule="exact"/>
              <w:jc w:val="left"/>
              <w:rPr>
                <w:b/>
                <w:sz w:val="24"/>
              </w:rPr>
            </w:pPr>
            <w:r>
              <w:rPr>
                <w:b/>
                <w:sz w:val="24"/>
              </w:rPr>
              <w:t>8、绿化、生态恢复措施及恢复情况</w:t>
            </w:r>
          </w:p>
          <w:p>
            <w:pPr>
              <w:autoSpaceDE w:val="0"/>
              <w:autoSpaceDN w:val="0"/>
              <w:adjustRightInd w:val="0"/>
              <w:spacing w:line="360" w:lineRule="auto"/>
              <w:ind w:firstLine="480" w:firstLineChars="200"/>
              <w:jc w:val="left"/>
              <w:rPr>
                <w:kern w:val="0"/>
                <w:sz w:val="24"/>
              </w:rPr>
            </w:pPr>
            <w:r>
              <w:rPr>
                <w:kern w:val="0"/>
                <w:sz w:val="24"/>
              </w:rPr>
              <w:t>项目对各种污染物采取有效的处理措施，注重绿化、美化，</w:t>
            </w:r>
            <w:r>
              <w:rPr>
                <w:rFonts w:hint="eastAsia"/>
                <w:kern w:val="0"/>
                <w:sz w:val="24"/>
              </w:rPr>
              <w:t>未破坏</w:t>
            </w:r>
            <w:r>
              <w:rPr>
                <w:kern w:val="0"/>
                <w:sz w:val="24"/>
              </w:rPr>
              <w:t>周</w:t>
            </w:r>
            <w:r>
              <w:rPr>
                <w:rFonts w:hint="eastAsia"/>
                <w:kern w:val="0"/>
                <w:sz w:val="24"/>
              </w:rPr>
              <w:t>边</w:t>
            </w:r>
            <w:r>
              <w:rPr>
                <w:kern w:val="0"/>
                <w:sz w:val="24"/>
              </w:rPr>
              <w:t>的生态环境。</w:t>
            </w: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ind w:firstLine="480" w:firstLineChars="200"/>
              <w:jc w:val="left"/>
              <w:rPr>
                <w:kern w:val="0"/>
                <w:sz w:val="24"/>
              </w:rPr>
            </w:pPr>
          </w:p>
          <w:p>
            <w:pPr>
              <w:autoSpaceDE w:val="0"/>
              <w:autoSpaceDN w:val="0"/>
              <w:adjustRightInd w:val="0"/>
              <w:spacing w:line="360" w:lineRule="auto"/>
              <w:jc w:val="left"/>
              <w:rPr>
                <w:b/>
                <w:sz w:val="24"/>
              </w:rPr>
            </w:pPr>
            <w:r>
              <w:rPr>
                <w:b/>
                <w:sz w:val="24"/>
              </w:rPr>
              <w:t>9、环评报告表及批复要求的落实情况</w:t>
            </w:r>
          </w:p>
          <w:tbl>
            <w:tblPr>
              <w:tblStyle w:val="20"/>
              <w:tblW w:w="8172"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92"/>
              <w:gridCol w:w="3947"/>
              <w:gridCol w:w="353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3" w:hRule="atLeast"/>
                <w:tblHeader/>
                <w:jc w:val="center"/>
              </w:trPr>
              <w:tc>
                <w:tcPr>
                  <w:tcW w:w="692" w:type="dxa"/>
                  <w:tcMar>
                    <w:top w:w="0" w:type="dxa"/>
                    <w:left w:w="0" w:type="dxa"/>
                    <w:bottom w:w="0" w:type="dxa"/>
                    <w:right w:w="0" w:type="dxa"/>
                  </w:tcMar>
                  <w:vAlign w:val="center"/>
                </w:tcPr>
                <w:p>
                  <w:pPr>
                    <w:spacing w:line="276" w:lineRule="auto"/>
                    <w:ind w:left="-17" w:leftChars="-8" w:firstLine="17" w:firstLineChars="7"/>
                    <w:rPr>
                      <w:b/>
                      <w:sz w:val="24"/>
                    </w:rPr>
                  </w:pPr>
                  <w:r>
                    <w:rPr>
                      <w:rFonts w:hint="eastAsia"/>
                      <w:b/>
                      <w:sz w:val="24"/>
                    </w:rPr>
                    <w:t>序号</w:t>
                  </w:r>
                </w:p>
              </w:tc>
              <w:tc>
                <w:tcPr>
                  <w:tcW w:w="3947" w:type="dxa"/>
                  <w:vAlign w:val="center"/>
                </w:tcPr>
                <w:p>
                  <w:pPr>
                    <w:spacing w:line="276" w:lineRule="auto"/>
                    <w:ind w:left="-59" w:leftChars="-28" w:right="-73" w:rightChars="-35"/>
                    <w:jc w:val="center"/>
                    <w:rPr>
                      <w:b/>
                      <w:sz w:val="24"/>
                    </w:rPr>
                  </w:pPr>
                  <w:r>
                    <w:rPr>
                      <w:b/>
                      <w:sz w:val="24"/>
                    </w:rPr>
                    <w:t>环评报告表及批复要求</w:t>
                  </w:r>
                </w:p>
              </w:tc>
              <w:tc>
                <w:tcPr>
                  <w:tcW w:w="3533" w:type="dxa"/>
                  <w:vAlign w:val="center"/>
                </w:tcPr>
                <w:p>
                  <w:pPr>
                    <w:tabs>
                      <w:tab w:val="left" w:pos="2167"/>
                    </w:tabs>
                    <w:spacing w:line="276" w:lineRule="auto"/>
                    <w:jc w:val="center"/>
                    <w:rPr>
                      <w:b/>
                      <w:sz w:val="24"/>
                    </w:rPr>
                  </w:pPr>
                  <w:r>
                    <w:rPr>
                      <w:b/>
                      <w:sz w:val="24"/>
                    </w:rPr>
                    <w:t>实际落实情况</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53" w:hRule="atLeast"/>
                <w:tblHeader/>
                <w:jc w:val="center"/>
              </w:trPr>
              <w:tc>
                <w:tcPr>
                  <w:tcW w:w="692" w:type="dxa"/>
                  <w:tcMar>
                    <w:top w:w="0" w:type="dxa"/>
                    <w:left w:w="0" w:type="dxa"/>
                    <w:bottom w:w="0" w:type="dxa"/>
                    <w:right w:w="0" w:type="dxa"/>
                  </w:tcMar>
                  <w:vAlign w:val="center"/>
                </w:tcPr>
                <w:p>
                  <w:pPr>
                    <w:adjustRightInd w:val="0"/>
                    <w:snapToGrid w:val="0"/>
                    <w:ind w:left="-17" w:leftChars="-8" w:firstLine="14" w:firstLineChars="7"/>
                    <w:jc w:val="center"/>
                    <w:rPr>
                      <w:szCs w:val="21"/>
                    </w:rPr>
                  </w:pPr>
                  <w:r>
                    <w:rPr>
                      <w:rFonts w:hint="eastAsia"/>
                      <w:szCs w:val="21"/>
                    </w:rPr>
                    <w:t>1</w:t>
                  </w:r>
                </w:p>
              </w:tc>
              <w:tc>
                <w:tcPr>
                  <w:tcW w:w="3947" w:type="dxa"/>
                  <w:vAlign w:val="center"/>
                </w:tcPr>
                <w:p>
                  <w:pPr>
                    <w:pStyle w:val="30"/>
                    <w:spacing w:beforeLines="0" w:afterLines="0" w:line="276" w:lineRule="auto"/>
                    <w:ind w:left="0" w:firstLine="420" w:firstLineChars="200"/>
                    <w:jc w:val="center"/>
                    <w:rPr>
                      <w:rFonts w:hAnsi="Times New Roman"/>
                    </w:rPr>
                  </w:pPr>
                  <w:r>
                    <w:rPr>
                      <w:rFonts w:hint="eastAsia" w:hAnsi="Times New Roman"/>
                      <w:spacing w:val="0"/>
                    </w:rPr>
                    <w:t>该项目租赁厂房面积为115000平方米，按生产工艺从事布料的生产加工、家居布料样板册、墙纸样板册、窗帘样板册、其他家居材料样板册的生产，布料、墙纸、窗帘、家居材料及其样板册的仓储配送，年产量为200吨、200万本、30万本、50万本、20万本、300吨。该项目如有扩大生产、改变生产工艺、改变建设地址须另行申报。</w:t>
                  </w:r>
                </w:p>
              </w:tc>
              <w:tc>
                <w:tcPr>
                  <w:tcW w:w="3533" w:type="dxa"/>
                  <w:vAlign w:val="center"/>
                </w:tcPr>
                <w:p>
                  <w:pPr>
                    <w:pStyle w:val="30"/>
                    <w:spacing w:beforeLines="0" w:afterLines="0" w:line="276" w:lineRule="auto"/>
                    <w:ind w:left="0" w:firstLine="420" w:firstLineChars="200"/>
                    <w:jc w:val="left"/>
                    <w:rPr>
                      <w:rFonts w:hAnsi="Times New Roman"/>
                    </w:rPr>
                  </w:pPr>
                  <w:r>
                    <w:rPr>
                      <w:rFonts w:hint="eastAsia" w:hAnsi="Times New Roman"/>
                      <w:spacing w:val="0"/>
                    </w:rPr>
                    <w:t>已落实，租赁厂房面积为115000平方米，按生产工艺从事布料的生产加工、家居布料样板册、墙纸样板册、窗帘样板册、其他家居材料样板册的生产，布料、墙纸、窗帘、家居材料及其样板册的仓储配送，年产量为200吨、200万本、30万本、50万本、20万本、300吨。未扩大生产、未改变生产工艺和建设项目地址。</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3" w:hRule="atLeast"/>
                <w:tblHeader/>
                <w:jc w:val="center"/>
              </w:trPr>
              <w:tc>
                <w:tcPr>
                  <w:tcW w:w="692" w:type="dxa"/>
                  <w:tcMar>
                    <w:top w:w="0" w:type="dxa"/>
                    <w:left w:w="0" w:type="dxa"/>
                    <w:bottom w:w="0" w:type="dxa"/>
                    <w:right w:w="0" w:type="dxa"/>
                  </w:tcMar>
                  <w:vAlign w:val="center"/>
                </w:tcPr>
                <w:p>
                  <w:pPr>
                    <w:adjustRightInd w:val="0"/>
                    <w:snapToGrid w:val="0"/>
                    <w:ind w:left="-17" w:leftChars="-8" w:firstLine="14" w:firstLineChars="7"/>
                    <w:jc w:val="center"/>
                    <w:rPr>
                      <w:szCs w:val="21"/>
                    </w:rPr>
                  </w:pPr>
                  <w:r>
                    <w:rPr>
                      <w:rFonts w:hint="eastAsia"/>
                      <w:szCs w:val="21"/>
                    </w:rPr>
                    <w:t>2</w:t>
                  </w:r>
                </w:p>
              </w:tc>
              <w:tc>
                <w:tcPr>
                  <w:tcW w:w="3947" w:type="dxa"/>
                  <w:vAlign w:val="center"/>
                </w:tcPr>
                <w:p>
                  <w:pPr>
                    <w:pStyle w:val="30"/>
                    <w:spacing w:beforeLines="0" w:afterLines="0" w:line="276" w:lineRule="auto"/>
                    <w:ind w:left="0" w:firstLine="420" w:firstLineChars="200"/>
                    <w:jc w:val="left"/>
                    <w:rPr>
                      <w:rFonts w:hAnsi="Times New Roman"/>
                      <w:spacing w:val="0"/>
                      <w:highlight w:val="yellow"/>
                    </w:rPr>
                  </w:pPr>
                  <w:r>
                    <w:rPr>
                      <w:rFonts w:hint="eastAsia" w:hAnsi="Times New Roman"/>
                      <w:spacing w:val="0"/>
                    </w:rPr>
                    <w:t>不得从事除油、磷化、喷漆、喷塑、电镀、电氧化、印刷电路板、染洗、砂洗、印花等生产活动。</w:t>
                  </w:r>
                </w:p>
              </w:tc>
              <w:tc>
                <w:tcPr>
                  <w:tcW w:w="3533" w:type="dxa"/>
                  <w:vAlign w:val="center"/>
                </w:tcPr>
                <w:p>
                  <w:pPr>
                    <w:pStyle w:val="30"/>
                    <w:spacing w:beforeLines="0" w:afterLines="0" w:line="276" w:lineRule="auto"/>
                    <w:ind w:left="0" w:firstLine="420" w:firstLineChars="200"/>
                    <w:jc w:val="left"/>
                    <w:rPr>
                      <w:rFonts w:hAnsi="Times New Roman"/>
                      <w:spacing w:val="0"/>
                      <w:highlight w:val="yellow"/>
                    </w:rPr>
                  </w:pPr>
                  <w:r>
                    <w:rPr>
                      <w:rFonts w:hint="eastAsia" w:hAnsi="Times New Roman"/>
                      <w:spacing w:val="0"/>
                    </w:rPr>
                    <w:t>已落实，未从事除油、磷化、喷漆、喷塑、电镀、电氧化、印刷电路板、染洗、砂洗、印花等生产活动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273" w:hRule="atLeast"/>
                <w:tblHeader/>
                <w:jc w:val="center"/>
              </w:trPr>
              <w:tc>
                <w:tcPr>
                  <w:tcW w:w="692" w:type="dxa"/>
                  <w:tcMar>
                    <w:top w:w="0" w:type="dxa"/>
                    <w:left w:w="0" w:type="dxa"/>
                    <w:bottom w:w="0" w:type="dxa"/>
                    <w:right w:w="0" w:type="dxa"/>
                  </w:tcMar>
                  <w:vAlign w:val="center"/>
                </w:tcPr>
                <w:p>
                  <w:pPr>
                    <w:adjustRightInd w:val="0"/>
                    <w:snapToGrid w:val="0"/>
                    <w:ind w:left="-17" w:leftChars="-8" w:firstLine="14" w:firstLineChars="7"/>
                    <w:jc w:val="center"/>
                    <w:rPr>
                      <w:szCs w:val="21"/>
                    </w:rPr>
                  </w:pPr>
                  <w:r>
                    <w:rPr>
                      <w:rFonts w:hint="eastAsia"/>
                      <w:szCs w:val="21"/>
                    </w:rPr>
                    <w:t>3</w:t>
                  </w:r>
                </w:p>
              </w:tc>
              <w:tc>
                <w:tcPr>
                  <w:tcW w:w="3947"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根据申报情况，项目无 工业废水产生及排放；生活污水排放执行DB44/26-2001的第二时段三级标准，经化粪池处理达标后接入市政污水管网。</w:t>
                  </w:r>
                </w:p>
              </w:tc>
              <w:tc>
                <w:tcPr>
                  <w:tcW w:w="3533"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已落实，生活废水由于排入市政管网，执行改为行DB44/26-2001的第二时段三级标准，且达标排放；</w:t>
                  </w:r>
                  <w:r>
                    <w:rPr>
                      <w:rFonts w:hAnsi="Times New Roman"/>
                      <w:spacing w:val="0"/>
                    </w:rPr>
                    <w:t xml:space="preserve"> </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074" w:hRule="atLeast"/>
                <w:tblHeader/>
                <w:jc w:val="center"/>
              </w:trPr>
              <w:tc>
                <w:tcPr>
                  <w:tcW w:w="692" w:type="dxa"/>
                  <w:tcMar>
                    <w:top w:w="0" w:type="dxa"/>
                    <w:left w:w="0" w:type="dxa"/>
                    <w:bottom w:w="0" w:type="dxa"/>
                    <w:right w:w="0" w:type="dxa"/>
                  </w:tcMar>
                  <w:vAlign w:val="center"/>
                </w:tcPr>
                <w:p>
                  <w:pPr>
                    <w:adjustRightInd w:val="0"/>
                    <w:snapToGrid w:val="0"/>
                    <w:ind w:left="-17" w:leftChars="-8" w:firstLine="14" w:firstLineChars="7"/>
                    <w:jc w:val="center"/>
                    <w:rPr>
                      <w:szCs w:val="21"/>
                    </w:rPr>
                  </w:pPr>
                  <w:r>
                    <w:rPr>
                      <w:rFonts w:hint="eastAsia"/>
                      <w:szCs w:val="21"/>
                    </w:rPr>
                    <w:t>4</w:t>
                  </w:r>
                </w:p>
              </w:tc>
              <w:tc>
                <w:tcPr>
                  <w:tcW w:w="3947"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排放废气执行DB44/27-2001的第二时段二级标准，所排废气须经处理，达到规定标准后，通过管道高空排放。</w:t>
                  </w:r>
                </w:p>
              </w:tc>
              <w:tc>
                <w:tcPr>
                  <w:tcW w:w="3533"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已落实，所排废气须经处理达标后，通过管道高空排放。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012" w:hRule="atLeast"/>
                <w:tblHeader/>
                <w:jc w:val="center"/>
              </w:trPr>
              <w:tc>
                <w:tcPr>
                  <w:tcW w:w="692" w:type="dxa"/>
                  <w:tcMar>
                    <w:top w:w="0" w:type="dxa"/>
                    <w:left w:w="0" w:type="dxa"/>
                    <w:bottom w:w="0" w:type="dxa"/>
                    <w:right w:w="0" w:type="dxa"/>
                  </w:tcMar>
                  <w:vAlign w:val="center"/>
                </w:tcPr>
                <w:p>
                  <w:pPr>
                    <w:adjustRightInd w:val="0"/>
                    <w:snapToGrid w:val="0"/>
                    <w:ind w:left="-17" w:leftChars="-8" w:firstLine="14" w:firstLineChars="7"/>
                    <w:jc w:val="center"/>
                    <w:rPr>
                      <w:szCs w:val="21"/>
                    </w:rPr>
                  </w:pPr>
                  <w:r>
                    <w:rPr>
                      <w:rFonts w:hint="eastAsia"/>
                      <w:szCs w:val="21"/>
                    </w:rPr>
                    <w:t>5</w:t>
                  </w:r>
                </w:p>
              </w:tc>
              <w:tc>
                <w:tcPr>
                  <w:tcW w:w="3947"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排放噪声执行GB 12348-2008的3类标准，白天</w:t>
                  </w:r>
                  <w:r>
                    <w:rPr>
                      <w:rFonts w:hint="eastAsia" w:ascii="宋体" w:hAnsi="宋体"/>
                      <w:spacing w:val="0"/>
                    </w:rPr>
                    <w:t>≤</w:t>
                  </w:r>
                  <w:r>
                    <w:rPr>
                      <w:rFonts w:hint="eastAsia" w:hAnsi="Times New Roman"/>
                      <w:spacing w:val="0"/>
                    </w:rPr>
                    <w:t>6</w:t>
                  </w:r>
                  <w:r>
                    <w:rPr>
                      <w:rFonts w:hAnsi="Times New Roman"/>
                      <w:spacing w:val="0"/>
                    </w:rPr>
                    <w:t>5</w:t>
                  </w:r>
                  <w:r>
                    <w:rPr>
                      <w:rFonts w:hint="eastAsia" w:hAnsi="Times New Roman"/>
                      <w:spacing w:val="0"/>
                    </w:rPr>
                    <w:t>分贝，夜间</w:t>
                  </w:r>
                  <w:r>
                    <w:rPr>
                      <w:rFonts w:hint="eastAsia" w:ascii="宋体" w:hAnsi="宋体"/>
                      <w:spacing w:val="0"/>
                    </w:rPr>
                    <w:t>≤</w:t>
                  </w:r>
                  <w:r>
                    <w:rPr>
                      <w:rFonts w:hint="eastAsia" w:hAnsi="Times New Roman"/>
                      <w:spacing w:val="0"/>
                    </w:rPr>
                    <w:t>5</w:t>
                  </w:r>
                  <w:r>
                    <w:rPr>
                      <w:rFonts w:hAnsi="Times New Roman"/>
                      <w:spacing w:val="0"/>
                    </w:rPr>
                    <w:t>5</w:t>
                  </w:r>
                  <w:r>
                    <w:rPr>
                      <w:rFonts w:hint="eastAsia" w:hAnsi="Times New Roman"/>
                      <w:spacing w:val="0"/>
                    </w:rPr>
                    <w:t>分贝。</w:t>
                  </w:r>
                </w:p>
              </w:tc>
              <w:tc>
                <w:tcPr>
                  <w:tcW w:w="3533"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已执行噪声GB 12348-2008的3类标准，白天</w:t>
                  </w:r>
                  <w:r>
                    <w:rPr>
                      <w:rFonts w:hint="eastAsia" w:ascii="宋体" w:hAnsi="宋体"/>
                      <w:spacing w:val="0"/>
                    </w:rPr>
                    <w:t>≤</w:t>
                  </w:r>
                  <w:r>
                    <w:rPr>
                      <w:rFonts w:hint="eastAsia" w:hAnsi="Times New Roman"/>
                      <w:spacing w:val="0"/>
                    </w:rPr>
                    <w:t>6</w:t>
                  </w:r>
                  <w:r>
                    <w:rPr>
                      <w:rFonts w:hAnsi="Times New Roman"/>
                      <w:spacing w:val="0"/>
                    </w:rPr>
                    <w:t>5</w:t>
                  </w:r>
                  <w:r>
                    <w:rPr>
                      <w:rFonts w:hint="eastAsia" w:hAnsi="Times New Roman"/>
                      <w:spacing w:val="0"/>
                    </w:rPr>
                    <w:t>分贝，夜间</w:t>
                  </w:r>
                  <w:r>
                    <w:rPr>
                      <w:rFonts w:hint="eastAsia" w:ascii="宋体" w:hAnsi="宋体"/>
                      <w:spacing w:val="0"/>
                    </w:rPr>
                    <w:t>≤</w:t>
                  </w:r>
                  <w:r>
                    <w:rPr>
                      <w:rFonts w:hint="eastAsia" w:hAnsi="Times New Roman"/>
                      <w:spacing w:val="0"/>
                    </w:rPr>
                    <w:t>5</w:t>
                  </w:r>
                  <w:r>
                    <w:rPr>
                      <w:rFonts w:hAnsi="Times New Roman"/>
                      <w:spacing w:val="0"/>
                    </w:rPr>
                    <w:t>5</w:t>
                  </w:r>
                  <w:r>
                    <w:rPr>
                      <w:rFonts w:hint="eastAsia" w:hAnsi="Times New Roman"/>
                      <w:spacing w:val="0"/>
                    </w:rPr>
                    <w:t>分贝，噪声达标排放。</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81" w:hRule="atLeast"/>
                <w:tblHeader/>
                <w:jc w:val="center"/>
              </w:trPr>
              <w:tc>
                <w:tcPr>
                  <w:tcW w:w="692" w:type="dxa"/>
                  <w:tcMar>
                    <w:top w:w="0" w:type="dxa"/>
                    <w:left w:w="0" w:type="dxa"/>
                    <w:bottom w:w="0" w:type="dxa"/>
                    <w:right w:w="0" w:type="dxa"/>
                  </w:tcMar>
                  <w:vAlign w:val="center"/>
                </w:tcPr>
                <w:p>
                  <w:pPr>
                    <w:adjustRightInd w:val="0"/>
                    <w:snapToGrid w:val="0"/>
                    <w:ind w:left="-17" w:leftChars="-8" w:firstLine="14" w:firstLineChars="7"/>
                    <w:jc w:val="center"/>
                    <w:rPr>
                      <w:szCs w:val="21"/>
                    </w:rPr>
                  </w:pPr>
                  <w:r>
                    <w:rPr>
                      <w:rFonts w:hint="eastAsia"/>
                      <w:szCs w:val="21"/>
                    </w:rPr>
                    <w:t>6</w:t>
                  </w:r>
                </w:p>
              </w:tc>
              <w:tc>
                <w:tcPr>
                  <w:tcW w:w="3947"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根据申请，该项目没有放射源、辐射源，没有放射性、辐射性物质产生，如有改变须另行申报。</w:t>
                  </w:r>
                </w:p>
              </w:tc>
              <w:tc>
                <w:tcPr>
                  <w:tcW w:w="3533"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已落实，项目没有放射源、辐射源，没有放射性、辐射性物质产生。</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021" w:hRule="atLeast"/>
                <w:tblHeader/>
                <w:jc w:val="center"/>
              </w:trPr>
              <w:tc>
                <w:tcPr>
                  <w:tcW w:w="692" w:type="dxa"/>
                  <w:tcMar>
                    <w:top w:w="0" w:type="dxa"/>
                    <w:left w:w="0" w:type="dxa"/>
                    <w:bottom w:w="0" w:type="dxa"/>
                    <w:right w:w="0" w:type="dxa"/>
                  </w:tcMar>
                  <w:vAlign w:val="center"/>
                </w:tcPr>
                <w:p>
                  <w:pPr>
                    <w:adjustRightInd w:val="0"/>
                    <w:snapToGrid w:val="0"/>
                    <w:ind w:left="-17" w:leftChars="-8" w:firstLine="14" w:firstLineChars="7"/>
                    <w:jc w:val="center"/>
                    <w:rPr>
                      <w:szCs w:val="21"/>
                    </w:rPr>
                  </w:pPr>
                  <w:r>
                    <w:rPr>
                      <w:rFonts w:hint="eastAsia"/>
                      <w:szCs w:val="21"/>
                    </w:rPr>
                    <w:t>7</w:t>
                  </w:r>
                </w:p>
              </w:tc>
              <w:tc>
                <w:tcPr>
                  <w:tcW w:w="3947"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项目建设期及运营期须逐项落实环境影响报告表中所提的各项措施。</w:t>
                  </w:r>
                </w:p>
              </w:tc>
              <w:tc>
                <w:tcPr>
                  <w:tcW w:w="3533"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已落实，项目建设期和运营期须逐项落实环境影响报告表中所提的各项措施。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47" w:hRule="atLeast"/>
                <w:tblHeader/>
                <w:jc w:val="center"/>
              </w:trPr>
              <w:tc>
                <w:tcPr>
                  <w:tcW w:w="692" w:type="dxa"/>
                  <w:tcMar>
                    <w:top w:w="0" w:type="dxa"/>
                    <w:left w:w="0" w:type="dxa"/>
                    <w:bottom w:w="0" w:type="dxa"/>
                    <w:right w:w="0" w:type="dxa"/>
                  </w:tcMar>
                  <w:vAlign w:val="center"/>
                </w:tcPr>
                <w:p>
                  <w:pPr>
                    <w:adjustRightInd w:val="0"/>
                    <w:snapToGrid w:val="0"/>
                    <w:ind w:left="-17" w:leftChars="-8" w:firstLine="14" w:firstLineChars="7"/>
                    <w:jc w:val="center"/>
                    <w:rPr>
                      <w:szCs w:val="21"/>
                    </w:rPr>
                  </w:pPr>
                  <w:r>
                    <w:rPr>
                      <w:rFonts w:hint="eastAsia"/>
                      <w:szCs w:val="21"/>
                    </w:rPr>
                    <w:t>8</w:t>
                  </w:r>
                </w:p>
              </w:tc>
              <w:tc>
                <w:tcPr>
                  <w:tcW w:w="3947"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生产、经营中产生的工业固体废物不准擅自排放或混入生活垃圾中倾倒，工业危险废弃物须按国家要求分类存放并设立专用储存场所或设施，须委托深圳市危险废物处理站或经我局认可的有危险废物处理资质的单位处理，有关委托合同须报我局备案。</w:t>
                  </w:r>
                </w:p>
              </w:tc>
              <w:tc>
                <w:tcPr>
                  <w:tcW w:w="3533"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已落实，产生的危险废弃物，委托</w:t>
                  </w:r>
                  <w:r>
                    <w:rPr>
                      <w:rFonts w:hAnsi="Times New Roman"/>
                      <w:spacing w:val="0"/>
                    </w:rPr>
                    <w:t>深圳市</w:t>
                  </w:r>
                  <w:r>
                    <w:rPr>
                      <w:rFonts w:hint="eastAsia" w:hAnsi="Times New Roman"/>
                      <w:spacing w:val="0"/>
                    </w:rPr>
                    <w:t>宝安东江环保技术有限公司进行处理。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807" w:hRule="atLeast"/>
                <w:tblHeader/>
                <w:jc w:val="center"/>
              </w:trPr>
              <w:tc>
                <w:tcPr>
                  <w:tcW w:w="692" w:type="dxa"/>
                  <w:tcMar>
                    <w:top w:w="0" w:type="dxa"/>
                    <w:left w:w="0" w:type="dxa"/>
                    <w:bottom w:w="0" w:type="dxa"/>
                    <w:right w:w="0" w:type="dxa"/>
                  </w:tcMar>
                  <w:vAlign w:val="center"/>
                </w:tcPr>
                <w:p>
                  <w:pPr>
                    <w:adjustRightInd w:val="0"/>
                    <w:snapToGrid w:val="0"/>
                    <w:ind w:left="-17" w:leftChars="-8" w:firstLine="14" w:firstLineChars="7"/>
                    <w:jc w:val="center"/>
                    <w:rPr>
                      <w:szCs w:val="21"/>
                    </w:rPr>
                  </w:pPr>
                  <w:r>
                    <w:rPr>
                      <w:szCs w:val="21"/>
                    </w:rPr>
                    <w:t>9</w:t>
                  </w:r>
                </w:p>
              </w:tc>
              <w:tc>
                <w:tcPr>
                  <w:tcW w:w="3947"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该项目须推行清洁生产，加强管理，减少污染物的生产。</w:t>
                  </w:r>
                </w:p>
              </w:tc>
              <w:tc>
                <w:tcPr>
                  <w:tcW w:w="3533" w:type="dxa"/>
                  <w:vAlign w:val="center"/>
                </w:tcPr>
                <w:p>
                  <w:pPr>
                    <w:pStyle w:val="30"/>
                    <w:spacing w:beforeLines="0" w:afterLines="0" w:line="276" w:lineRule="auto"/>
                    <w:ind w:left="0" w:firstLine="420" w:firstLineChars="200"/>
                    <w:jc w:val="left"/>
                    <w:rPr>
                      <w:rFonts w:hAnsi="Times New Roman"/>
                      <w:spacing w:val="0"/>
                    </w:rPr>
                  </w:pPr>
                  <w:r>
                    <w:rPr>
                      <w:rFonts w:hint="eastAsia" w:hAnsi="Times New Roman"/>
                      <w:spacing w:val="0"/>
                    </w:rPr>
                    <w:t>已落实，项目推行清洁生产，加强管理，减少污染物的生产，</w:t>
                  </w:r>
                  <w:r>
                    <w:rPr>
                      <w:rFonts w:hAnsi="Times New Roman"/>
                      <w:spacing w:val="0"/>
                    </w:rPr>
                    <w:t>总体来说本项目的清洁生产水平为国内先进水平</w:t>
                  </w:r>
                </w:p>
              </w:tc>
            </w:tr>
          </w:tbl>
          <w:p>
            <w:pPr>
              <w:adjustRightInd w:val="0"/>
              <w:spacing w:line="360" w:lineRule="auto"/>
              <w:rPr>
                <w:sz w:val="24"/>
              </w:rPr>
            </w:pPr>
          </w:p>
        </w:tc>
      </w:tr>
    </w:tbl>
    <w:p>
      <w:pPr>
        <w:autoSpaceDE w:val="0"/>
        <w:autoSpaceDN w:val="0"/>
        <w:adjustRightInd w:val="0"/>
        <w:jc w:val="left"/>
        <w:rPr>
          <w:rFonts w:eastAsia="黑体"/>
          <w:kern w:val="0"/>
          <w:sz w:val="20"/>
          <w:szCs w:val="20"/>
        </w:rPr>
      </w:pPr>
      <w:r>
        <w:rPr>
          <w:b/>
          <w:sz w:val="28"/>
        </w:rPr>
        <w:t>表六验收监测结论及建议</w:t>
      </w:r>
    </w:p>
    <w:tbl>
      <w:tblPr>
        <w:tblStyle w:val="20"/>
        <w:tblW w:w="933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971" w:hRule="atLeast"/>
          <w:jc w:val="center"/>
        </w:trPr>
        <w:tc>
          <w:tcPr>
            <w:tcW w:w="9338" w:type="dxa"/>
          </w:tcPr>
          <w:p>
            <w:pPr>
              <w:autoSpaceDE w:val="0"/>
              <w:autoSpaceDN w:val="0"/>
              <w:adjustRightInd w:val="0"/>
              <w:spacing w:line="430" w:lineRule="exact"/>
              <w:jc w:val="left"/>
              <w:rPr>
                <w:b/>
                <w:kern w:val="0"/>
                <w:sz w:val="20"/>
                <w:szCs w:val="20"/>
              </w:rPr>
            </w:pPr>
            <w:r>
              <w:rPr>
                <w:b/>
                <w:kern w:val="0"/>
                <w:sz w:val="24"/>
              </w:rPr>
              <w:t>1、项目基本情况：</w:t>
            </w:r>
          </w:p>
          <w:p>
            <w:pPr>
              <w:spacing w:line="430" w:lineRule="exact"/>
              <w:ind w:firstLine="480" w:firstLineChars="200"/>
              <w:rPr>
                <w:kern w:val="0"/>
                <w:sz w:val="24"/>
              </w:rPr>
            </w:pPr>
            <w:r>
              <w:rPr>
                <w:rFonts w:hint="eastAsia"/>
                <w:bCs/>
                <w:sz w:val="24"/>
                <w:szCs w:val="36"/>
              </w:rPr>
              <w:t>香港SAMPLE GROUP ASIA PACIFIC LIMITED公司选址深圳市盐田区沙头角保税区15栋厂房第一层南座及第二层南北座及第三层南北座；开办“样板王制造（深圳）有限公司”（以下简称本项目），主要从事布料的生产加工、家居布料样板册、墙纸样板册、窗帘样板册、其他家居材料样板册的生产，布料、墙纸、窗帘、家居材料及其样板册的仓储配送，年产量为200吨、200万本、30万本、50万本、20万本、300吨，租赁生产场所建筑面积为11500平方米</w:t>
            </w:r>
            <w:r>
              <w:rPr>
                <w:bCs/>
                <w:sz w:val="24"/>
                <w:szCs w:val="36"/>
              </w:rPr>
              <w:t>（登记（备案）号：深房租盐田2016001073）</w:t>
            </w:r>
            <w:r>
              <w:rPr>
                <w:rFonts w:hint="eastAsia"/>
                <w:bCs/>
                <w:sz w:val="24"/>
                <w:szCs w:val="36"/>
              </w:rPr>
              <w:t>，员工人数为400人。</w:t>
            </w:r>
          </w:p>
          <w:p>
            <w:pPr>
              <w:spacing w:line="430" w:lineRule="exact"/>
              <w:ind w:firstLine="480" w:firstLineChars="200"/>
              <w:rPr>
                <w:bCs/>
                <w:sz w:val="24"/>
              </w:rPr>
            </w:pPr>
            <w:r>
              <w:rPr>
                <w:kern w:val="0"/>
                <w:sz w:val="24"/>
              </w:rPr>
              <w:t>2016年3</w:t>
            </w:r>
            <w:r>
              <w:rPr>
                <w:rFonts w:hint="eastAsia"/>
                <w:kern w:val="0"/>
                <w:sz w:val="24"/>
              </w:rPr>
              <w:t>月</w:t>
            </w:r>
            <w:r>
              <w:rPr>
                <w:kern w:val="0"/>
                <w:sz w:val="24"/>
              </w:rPr>
              <w:t>委托</w:t>
            </w:r>
            <w:r>
              <w:rPr>
                <w:bCs/>
                <w:sz w:val="24"/>
                <w:szCs w:val="36"/>
              </w:rPr>
              <w:t>重庆市环境保护工程设计研究院有限公司</w:t>
            </w:r>
            <w:r>
              <w:rPr>
                <w:kern w:val="0"/>
                <w:sz w:val="24"/>
              </w:rPr>
              <w:t>完成了环评报告表的编制，2016年5月取得了环境影响报告表的审批意见，</w:t>
            </w:r>
            <w:r>
              <w:rPr>
                <w:sz w:val="24"/>
                <w:szCs w:val="52"/>
              </w:rPr>
              <w:t>《深圳市</w:t>
            </w:r>
            <w:r>
              <w:rPr>
                <w:rFonts w:hint="eastAsia"/>
                <w:sz w:val="24"/>
                <w:szCs w:val="52"/>
              </w:rPr>
              <w:t>盐田区环境保护局</w:t>
            </w:r>
            <w:r>
              <w:rPr>
                <w:sz w:val="24"/>
                <w:szCs w:val="52"/>
              </w:rPr>
              <w:t>建设项目环境影响</w:t>
            </w:r>
            <w:r>
              <w:rPr>
                <w:rFonts w:hint="eastAsia"/>
                <w:sz w:val="24"/>
                <w:szCs w:val="52"/>
              </w:rPr>
              <w:t>审查批复</w:t>
            </w:r>
            <w:r>
              <w:rPr>
                <w:sz w:val="24"/>
                <w:szCs w:val="52"/>
              </w:rPr>
              <w:t>》</w:t>
            </w:r>
            <w:r>
              <w:rPr>
                <w:rFonts w:hint="eastAsia"/>
                <w:sz w:val="24"/>
                <w:szCs w:val="52"/>
              </w:rPr>
              <w:t>深盐环批[20</w:t>
            </w:r>
            <w:r>
              <w:rPr>
                <w:sz w:val="24"/>
                <w:szCs w:val="52"/>
              </w:rPr>
              <w:t>16</w:t>
            </w:r>
            <w:r>
              <w:rPr>
                <w:rFonts w:hint="eastAsia"/>
                <w:sz w:val="24"/>
                <w:szCs w:val="52"/>
              </w:rPr>
              <w:t>]800</w:t>
            </w:r>
            <w:r>
              <w:rPr>
                <w:sz w:val="24"/>
                <w:szCs w:val="52"/>
              </w:rPr>
              <w:t>17号</w:t>
            </w:r>
            <w:r>
              <w:rPr>
                <w:rFonts w:hint="eastAsia"/>
                <w:sz w:val="24"/>
                <w:szCs w:val="52"/>
              </w:rPr>
              <w:t>。</w:t>
            </w:r>
          </w:p>
          <w:p>
            <w:pPr>
              <w:autoSpaceDE w:val="0"/>
              <w:autoSpaceDN w:val="0"/>
              <w:adjustRightInd w:val="0"/>
              <w:spacing w:line="430" w:lineRule="exact"/>
              <w:jc w:val="left"/>
              <w:rPr>
                <w:b/>
                <w:kern w:val="0"/>
                <w:sz w:val="24"/>
              </w:rPr>
            </w:pPr>
            <w:r>
              <w:rPr>
                <w:b/>
                <w:kern w:val="0"/>
                <w:sz w:val="24"/>
              </w:rPr>
              <w:t>2、验收监测期间工况</w:t>
            </w:r>
          </w:p>
          <w:p>
            <w:pPr>
              <w:spacing w:line="430" w:lineRule="exact"/>
              <w:ind w:firstLine="480" w:firstLineChars="200"/>
              <w:rPr>
                <w:kern w:val="0"/>
                <w:sz w:val="24"/>
              </w:rPr>
            </w:pPr>
            <w:r>
              <w:rPr>
                <w:kern w:val="0"/>
                <w:sz w:val="24"/>
              </w:rPr>
              <w:t>验收监测于2017年5月31日、</w:t>
            </w:r>
            <w:r>
              <w:rPr>
                <w:rFonts w:hint="eastAsia"/>
                <w:kern w:val="0"/>
                <w:sz w:val="24"/>
              </w:rPr>
              <w:t>6月1</w:t>
            </w:r>
            <w:r>
              <w:rPr>
                <w:kern w:val="0"/>
                <w:sz w:val="24"/>
              </w:rPr>
              <w:t>日进行，监测期间的实际生产能力量达到设计生产能力的100%，满足75%以上负荷的要求。</w:t>
            </w:r>
          </w:p>
          <w:p>
            <w:pPr>
              <w:autoSpaceDE w:val="0"/>
              <w:autoSpaceDN w:val="0"/>
              <w:adjustRightInd w:val="0"/>
              <w:spacing w:line="430" w:lineRule="exact"/>
              <w:jc w:val="left"/>
              <w:rPr>
                <w:b/>
                <w:kern w:val="0"/>
                <w:sz w:val="24"/>
              </w:rPr>
            </w:pPr>
            <w:r>
              <w:rPr>
                <w:b/>
                <w:kern w:val="0"/>
                <w:sz w:val="24"/>
              </w:rPr>
              <w:t>3、污染物达标排放情况</w:t>
            </w:r>
          </w:p>
          <w:p>
            <w:pPr>
              <w:spacing w:line="430" w:lineRule="exact"/>
              <w:ind w:firstLine="480" w:firstLineChars="200"/>
              <w:rPr>
                <w:kern w:val="0"/>
                <w:sz w:val="24"/>
              </w:rPr>
            </w:pPr>
            <w:r>
              <w:rPr>
                <w:kern w:val="0"/>
                <w:sz w:val="24"/>
              </w:rPr>
              <w:t>水污染物：</w:t>
            </w:r>
            <w:r>
              <w:rPr>
                <w:bCs/>
                <w:sz w:val="24"/>
              </w:rPr>
              <w:t>项目</w:t>
            </w:r>
            <w:r>
              <w:rPr>
                <w:rFonts w:hint="eastAsia"/>
                <w:bCs/>
                <w:sz w:val="24"/>
              </w:rPr>
              <w:t>无工业废水产生及排放</w:t>
            </w:r>
            <w:r>
              <w:rPr>
                <w:bCs/>
                <w:sz w:val="24"/>
              </w:rPr>
              <w:t>。</w:t>
            </w:r>
            <w:r>
              <w:rPr>
                <w:sz w:val="24"/>
              </w:rPr>
              <w:t>生活污水经过化粪池预处理后，再经污水管网送入盐田污水处理厂处理。</w:t>
            </w:r>
            <w:r>
              <w:rPr>
                <w:kern w:val="0"/>
                <w:sz w:val="24"/>
              </w:rPr>
              <w:t>经监测</w:t>
            </w:r>
            <w:r>
              <w:rPr>
                <w:rFonts w:hint="eastAsia"/>
                <w:kern w:val="0"/>
                <w:sz w:val="24"/>
              </w:rPr>
              <w:t>生活污水</w:t>
            </w:r>
            <w:r>
              <w:rPr>
                <w:kern w:val="0"/>
                <w:sz w:val="24"/>
              </w:rPr>
              <w:t>达到广东省地方标准《水污染物排放限值》(DB44/26-2001)第二时段三级排放限值的要求。</w:t>
            </w:r>
          </w:p>
          <w:p>
            <w:pPr>
              <w:adjustRightInd w:val="0"/>
              <w:spacing w:line="360" w:lineRule="auto"/>
              <w:ind w:firstLine="480" w:firstLineChars="200"/>
              <w:rPr>
                <w:sz w:val="24"/>
              </w:rPr>
            </w:pPr>
            <w:r>
              <w:rPr>
                <w:kern w:val="0"/>
                <w:sz w:val="24"/>
              </w:rPr>
              <w:t>大气污染物：项目废气为</w:t>
            </w:r>
            <w:r>
              <w:rPr>
                <w:rFonts w:hint="eastAsia"/>
                <w:kern w:val="0"/>
                <w:sz w:val="24"/>
              </w:rPr>
              <w:t>胶水工序废气经处理后高空排放，共设有</w:t>
            </w:r>
            <w:r>
              <w:rPr>
                <w:kern w:val="0"/>
                <w:sz w:val="24"/>
              </w:rPr>
              <w:t>1</w:t>
            </w:r>
            <w:r>
              <w:rPr>
                <w:rFonts w:hint="eastAsia"/>
                <w:kern w:val="0"/>
                <w:sz w:val="24"/>
              </w:rPr>
              <w:t>套环保设备，</w:t>
            </w:r>
            <w:r>
              <w:rPr>
                <w:sz w:val="24"/>
              </w:rPr>
              <w:t>经监测达到广东省地方标准《大气污染物排放限值》（DB44/27-2001）第二时段二级排放限值的要求。</w:t>
            </w:r>
          </w:p>
          <w:p>
            <w:pPr>
              <w:spacing w:line="430" w:lineRule="exact"/>
              <w:ind w:firstLine="480" w:firstLineChars="200"/>
              <w:rPr>
                <w:sz w:val="24"/>
              </w:rPr>
            </w:pPr>
            <w:r>
              <w:rPr>
                <w:kern w:val="0"/>
                <w:sz w:val="24"/>
              </w:rPr>
              <w:t>噪声：</w:t>
            </w:r>
            <w:r>
              <w:rPr>
                <w:sz w:val="24"/>
              </w:rPr>
              <w:t>项目采取将各生产车间内的设备进行合理布局，夜间不生产，加强管理等措施，减少项目对周边声环境的影响。经监测噪声达到《工业企业厂界环境噪声排放标准》（GB 12348-2008）3类标准的要求。</w:t>
            </w:r>
          </w:p>
          <w:p>
            <w:pPr>
              <w:spacing w:line="360" w:lineRule="auto"/>
              <w:ind w:firstLine="480" w:firstLineChars="200"/>
              <w:rPr>
                <w:sz w:val="24"/>
              </w:rPr>
            </w:pPr>
            <w:r>
              <w:rPr>
                <w:kern w:val="0"/>
                <w:sz w:val="24"/>
              </w:rPr>
              <w:t>固体废物：</w:t>
            </w:r>
            <w:r>
              <w:rPr>
                <w:sz w:val="24"/>
              </w:rPr>
              <w:t>生活垃圾设置生活垃圾收集场所或容器，并做到生活垃圾收集容器化，生活垃圾的收集与转运应并入当地环卫管理系统统一安排。</w:t>
            </w:r>
            <w:r>
              <w:rPr>
                <w:rFonts w:hint="eastAsia"/>
                <w:sz w:val="24"/>
              </w:rPr>
              <w:t>一般</w:t>
            </w:r>
            <w:r>
              <w:rPr>
                <w:sz w:val="24"/>
              </w:rPr>
              <w:t>工业废物具有回收价值，收集后交给专门的物资回收公司回收利用。</w:t>
            </w:r>
            <w:r>
              <w:rPr>
                <w:rFonts w:hint="eastAsia"/>
                <w:sz w:val="24"/>
              </w:rPr>
              <w:t>废胶桶、胶渣</w:t>
            </w:r>
            <w:r>
              <w:rPr>
                <w:rFonts w:hint="eastAsia"/>
                <w:bCs/>
                <w:sz w:val="24"/>
              </w:rPr>
              <w:t>（HW13</w:t>
            </w:r>
            <w:r>
              <w:rPr>
                <w:rFonts w:hint="eastAsia"/>
                <w:sz w:val="24"/>
              </w:rPr>
              <w:t>）和废活性碳（HW49），项目产生的危险废物</w:t>
            </w:r>
            <w:r>
              <w:rPr>
                <w:rFonts w:hint="eastAsia" w:ascii="Calibri" w:hAnsi="Calibri"/>
                <w:kern w:val="0"/>
                <w:sz w:val="24"/>
              </w:rPr>
              <w:t>定期</w:t>
            </w:r>
            <w:r>
              <w:rPr>
                <w:rFonts w:ascii="Calibri" w:hAnsi="Calibri"/>
                <w:kern w:val="0"/>
                <w:sz w:val="24"/>
              </w:rPr>
              <w:t>交由深圳市</w:t>
            </w:r>
            <w:r>
              <w:rPr>
                <w:rFonts w:hint="eastAsia" w:ascii="Calibri" w:hAnsi="Calibri"/>
                <w:kern w:val="0"/>
                <w:sz w:val="24"/>
              </w:rPr>
              <w:t>宝安东江环保技术有限公司进行进行处理处置</w:t>
            </w:r>
            <w:r>
              <w:rPr>
                <w:sz w:val="24"/>
              </w:rPr>
              <w:t>，并持危险废物转移处理协议和转移联单。</w:t>
            </w:r>
          </w:p>
          <w:p>
            <w:pPr>
              <w:autoSpaceDE w:val="0"/>
              <w:autoSpaceDN w:val="0"/>
              <w:adjustRightInd w:val="0"/>
              <w:spacing w:line="430" w:lineRule="exact"/>
              <w:jc w:val="left"/>
              <w:rPr>
                <w:b/>
                <w:kern w:val="0"/>
                <w:sz w:val="24"/>
              </w:rPr>
            </w:pPr>
            <w:r>
              <w:rPr>
                <w:b/>
                <w:kern w:val="0"/>
                <w:sz w:val="24"/>
              </w:rPr>
              <w:t>4、污染物总量控制情况</w:t>
            </w:r>
          </w:p>
          <w:p>
            <w:pPr>
              <w:spacing w:line="400" w:lineRule="exact"/>
              <w:ind w:firstLine="480" w:firstLineChars="200"/>
              <w:rPr>
                <w:kern w:val="0"/>
                <w:sz w:val="24"/>
              </w:rPr>
            </w:pPr>
            <w:r>
              <w:rPr>
                <w:rFonts w:hint="eastAsia"/>
                <w:kern w:val="0"/>
                <w:sz w:val="24"/>
              </w:rPr>
              <w:t>该项目无总量控制要求</w:t>
            </w:r>
          </w:p>
          <w:p>
            <w:pPr>
              <w:autoSpaceDE w:val="0"/>
              <w:autoSpaceDN w:val="0"/>
              <w:adjustRightInd w:val="0"/>
              <w:spacing w:line="400" w:lineRule="exact"/>
              <w:jc w:val="left"/>
              <w:rPr>
                <w:b/>
                <w:kern w:val="0"/>
                <w:sz w:val="24"/>
              </w:rPr>
            </w:pPr>
            <w:r>
              <w:rPr>
                <w:b/>
                <w:kern w:val="0"/>
                <w:sz w:val="24"/>
              </w:rPr>
              <w:t>5、环保管理检查</w:t>
            </w:r>
          </w:p>
          <w:p>
            <w:pPr>
              <w:spacing w:line="400" w:lineRule="exact"/>
              <w:ind w:firstLine="480" w:firstLineChars="200"/>
              <w:rPr>
                <w:kern w:val="0"/>
                <w:sz w:val="24"/>
              </w:rPr>
            </w:pPr>
            <w:r>
              <w:rPr>
                <w:kern w:val="0"/>
                <w:sz w:val="24"/>
              </w:rPr>
              <w:t>项目执行了环境影响评价及“三同时”制度，环评批复要求基本得到落实。</w:t>
            </w:r>
          </w:p>
          <w:p>
            <w:pPr>
              <w:autoSpaceDE w:val="0"/>
              <w:autoSpaceDN w:val="0"/>
              <w:adjustRightInd w:val="0"/>
              <w:spacing w:line="400" w:lineRule="exact"/>
              <w:jc w:val="left"/>
              <w:rPr>
                <w:b/>
                <w:kern w:val="0"/>
                <w:sz w:val="24"/>
              </w:rPr>
            </w:pPr>
            <w:r>
              <w:rPr>
                <w:b/>
                <w:kern w:val="0"/>
                <w:sz w:val="24"/>
              </w:rPr>
              <w:t>6、结论</w:t>
            </w:r>
          </w:p>
          <w:p>
            <w:pPr>
              <w:spacing w:line="400" w:lineRule="exact"/>
              <w:ind w:firstLine="480" w:firstLineChars="200"/>
              <w:rPr>
                <w:kern w:val="0"/>
                <w:sz w:val="24"/>
              </w:rPr>
            </w:pPr>
            <w:r>
              <w:rPr>
                <w:kern w:val="0"/>
                <w:sz w:val="24"/>
              </w:rPr>
              <w:t>根据项目验收监测和现场调查结果，项目基本符合建设项目竣工环境保护验收的要求</w:t>
            </w:r>
            <w:r>
              <w:rPr>
                <w:rFonts w:hint="eastAsia"/>
                <w:kern w:val="0"/>
                <w:sz w:val="24"/>
                <w:lang w:eastAsia="zh-CN"/>
              </w:rPr>
              <w:t>，</w:t>
            </w:r>
            <w:r>
              <w:rPr>
                <w:rFonts w:hint="eastAsia"/>
                <w:kern w:val="0"/>
                <w:sz w:val="24"/>
                <w:lang w:val="en-US" w:eastAsia="zh-CN"/>
              </w:rPr>
              <w:t>通过验收</w:t>
            </w:r>
            <w:r>
              <w:rPr>
                <w:kern w:val="0"/>
                <w:sz w:val="24"/>
              </w:rPr>
              <w:t>。</w:t>
            </w:r>
          </w:p>
          <w:p>
            <w:pPr>
              <w:autoSpaceDE w:val="0"/>
              <w:autoSpaceDN w:val="0"/>
              <w:adjustRightInd w:val="0"/>
              <w:spacing w:line="400" w:lineRule="exact"/>
              <w:jc w:val="left"/>
              <w:rPr>
                <w:b/>
                <w:kern w:val="0"/>
                <w:sz w:val="24"/>
              </w:rPr>
            </w:pPr>
            <w:r>
              <w:rPr>
                <w:b/>
                <w:kern w:val="0"/>
                <w:sz w:val="24"/>
              </w:rPr>
              <w:t>7、建议</w:t>
            </w:r>
          </w:p>
          <w:p>
            <w:pPr>
              <w:spacing w:line="400" w:lineRule="exact"/>
              <w:ind w:firstLine="480" w:firstLineChars="200"/>
              <w:rPr>
                <w:kern w:val="0"/>
                <w:sz w:val="24"/>
              </w:rPr>
            </w:pPr>
            <w:r>
              <w:rPr>
                <w:rFonts w:hint="eastAsia"/>
                <w:kern w:val="0"/>
                <w:sz w:val="24"/>
              </w:rPr>
              <w:t>建议完善废水和废气排口规范化手续，对废水和废气排放口做好规范化标识。</w:t>
            </w:r>
          </w:p>
          <w:p>
            <w:pPr>
              <w:spacing w:line="360" w:lineRule="auto"/>
              <w:ind w:firstLine="480" w:firstLineChars="200"/>
              <w:rPr>
                <w:sz w:val="24"/>
              </w:rPr>
            </w:pPr>
            <w:r>
              <w:rPr>
                <w:kern w:val="0"/>
                <w:sz w:val="24"/>
              </w:rPr>
              <w:t>遵照相关法律法规要求，落实各项污染物的防治措施，加强环境管理水平，保证各项污染物达标排放</w:t>
            </w:r>
            <w:r>
              <w:rPr>
                <w:rFonts w:hint="eastAsia"/>
                <w:kern w:val="0"/>
                <w:sz w:val="24"/>
              </w:rPr>
              <w:t>。</w:t>
            </w:r>
          </w:p>
          <w:p>
            <w:pPr>
              <w:adjustRightInd w:val="0"/>
              <w:spacing w:line="360" w:lineRule="auto"/>
              <w:ind w:firstLine="480" w:firstLineChars="200"/>
              <w:rPr>
                <w:kern w:val="0"/>
                <w:sz w:val="24"/>
              </w:rPr>
            </w:pPr>
          </w:p>
          <w:p>
            <w:pPr>
              <w:spacing w:line="430" w:lineRule="exact"/>
              <w:ind w:firstLine="480" w:firstLineChars="200"/>
              <w:rPr>
                <w:kern w:val="0"/>
                <w:sz w:val="24"/>
              </w:rPr>
            </w:pPr>
          </w:p>
        </w:tc>
      </w:tr>
    </w:tbl>
    <w:p>
      <w:pPr>
        <w:autoSpaceDE w:val="0"/>
        <w:autoSpaceDN w:val="0"/>
        <w:adjustRightInd w:val="0"/>
        <w:jc w:val="left"/>
        <w:rPr>
          <w:b/>
          <w:kern w:val="0"/>
          <w:sz w:val="32"/>
          <w:szCs w:val="32"/>
        </w:rPr>
      </w:pPr>
    </w:p>
    <w:p>
      <w:pPr>
        <w:widowControl/>
        <w:jc w:val="left"/>
        <w:rPr>
          <w:b/>
          <w:kern w:val="0"/>
          <w:sz w:val="32"/>
          <w:szCs w:val="32"/>
        </w:rPr>
      </w:pPr>
    </w:p>
    <w:p>
      <w:pPr>
        <w:autoSpaceDE w:val="0"/>
        <w:autoSpaceDN w:val="0"/>
        <w:adjustRightInd w:val="0"/>
        <w:jc w:val="center"/>
        <w:rPr>
          <w:sz w:val="24"/>
          <w:szCs w:val="52"/>
        </w:rPr>
        <w:sectPr>
          <w:headerReference r:id="rId6" w:type="default"/>
          <w:footerReference r:id="rId7" w:type="default"/>
          <w:pgSz w:w="11906" w:h="16838"/>
          <w:pgMar w:top="1077" w:right="1418" w:bottom="471" w:left="1418" w:header="851" w:footer="992" w:gutter="0"/>
          <w:pgNumType w:fmt="decimal"/>
          <w:cols w:space="720" w:num="1"/>
          <w:docGrid w:type="lines" w:linePitch="312" w:charSpace="0"/>
        </w:sectPr>
      </w:pPr>
    </w:p>
    <w:p>
      <w:pPr>
        <w:snapToGrid w:val="0"/>
      </w:pPr>
    </w:p>
    <w:sectPr>
      <w:headerReference r:id="rId8" w:type="default"/>
      <w:footerReference r:id="rId9" w:type="default"/>
      <w:pgSz w:w="16838" w:h="11906" w:orient="landscape"/>
      <w:pgMar w:top="568" w:right="720" w:bottom="720" w:left="720" w:header="568" w:footer="788"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64C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B2F9E"/>
    <w:multiLevelType w:val="multilevel"/>
    <w:tmpl w:val="355B2F9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9A68489"/>
    <w:multiLevelType w:val="singleLevel"/>
    <w:tmpl w:val="59A6848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ED0"/>
    <w:rsid w:val="000001C2"/>
    <w:rsid w:val="0000385D"/>
    <w:rsid w:val="00003AAB"/>
    <w:rsid w:val="00005B15"/>
    <w:rsid w:val="00007159"/>
    <w:rsid w:val="00012387"/>
    <w:rsid w:val="00012918"/>
    <w:rsid w:val="00014419"/>
    <w:rsid w:val="00014927"/>
    <w:rsid w:val="00015A3A"/>
    <w:rsid w:val="00015B4D"/>
    <w:rsid w:val="000213E0"/>
    <w:rsid w:val="000232EB"/>
    <w:rsid w:val="0002370C"/>
    <w:rsid w:val="00023D47"/>
    <w:rsid w:val="00023E09"/>
    <w:rsid w:val="00026772"/>
    <w:rsid w:val="00026C3D"/>
    <w:rsid w:val="00027CBE"/>
    <w:rsid w:val="00030367"/>
    <w:rsid w:val="0003360F"/>
    <w:rsid w:val="0003409B"/>
    <w:rsid w:val="00034973"/>
    <w:rsid w:val="00035C81"/>
    <w:rsid w:val="000378A4"/>
    <w:rsid w:val="000403DA"/>
    <w:rsid w:val="0004398F"/>
    <w:rsid w:val="00044760"/>
    <w:rsid w:val="0004566C"/>
    <w:rsid w:val="00046A17"/>
    <w:rsid w:val="00047D40"/>
    <w:rsid w:val="00050363"/>
    <w:rsid w:val="00051E5B"/>
    <w:rsid w:val="00052991"/>
    <w:rsid w:val="00054653"/>
    <w:rsid w:val="0005761F"/>
    <w:rsid w:val="00057D21"/>
    <w:rsid w:val="000613A6"/>
    <w:rsid w:val="000635D2"/>
    <w:rsid w:val="00065632"/>
    <w:rsid w:val="00066FEA"/>
    <w:rsid w:val="00070362"/>
    <w:rsid w:val="00070CC0"/>
    <w:rsid w:val="0007253C"/>
    <w:rsid w:val="00072845"/>
    <w:rsid w:val="00073BE3"/>
    <w:rsid w:val="00082427"/>
    <w:rsid w:val="00082A5F"/>
    <w:rsid w:val="00082BFD"/>
    <w:rsid w:val="00083EA9"/>
    <w:rsid w:val="0008682B"/>
    <w:rsid w:val="00086CF2"/>
    <w:rsid w:val="00087C5F"/>
    <w:rsid w:val="00087FED"/>
    <w:rsid w:val="000907D3"/>
    <w:rsid w:val="00093349"/>
    <w:rsid w:val="000936C8"/>
    <w:rsid w:val="000938DD"/>
    <w:rsid w:val="000943D6"/>
    <w:rsid w:val="00094FF9"/>
    <w:rsid w:val="00096198"/>
    <w:rsid w:val="00097D2A"/>
    <w:rsid w:val="000A0CD2"/>
    <w:rsid w:val="000A17DA"/>
    <w:rsid w:val="000A21E8"/>
    <w:rsid w:val="000A2A78"/>
    <w:rsid w:val="000A52D7"/>
    <w:rsid w:val="000A62FB"/>
    <w:rsid w:val="000A70B3"/>
    <w:rsid w:val="000B0BF5"/>
    <w:rsid w:val="000B0CF0"/>
    <w:rsid w:val="000B0DA7"/>
    <w:rsid w:val="000B0F44"/>
    <w:rsid w:val="000B2192"/>
    <w:rsid w:val="000B3229"/>
    <w:rsid w:val="000B4E03"/>
    <w:rsid w:val="000B52E4"/>
    <w:rsid w:val="000B5840"/>
    <w:rsid w:val="000B6F1A"/>
    <w:rsid w:val="000C0851"/>
    <w:rsid w:val="000C2AA9"/>
    <w:rsid w:val="000C3789"/>
    <w:rsid w:val="000C5221"/>
    <w:rsid w:val="000C61A1"/>
    <w:rsid w:val="000D324B"/>
    <w:rsid w:val="000D327A"/>
    <w:rsid w:val="000D4D7D"/>
    <w:rsid w:val="000D524E"/>
    <w:rsid w:val="000D7FA9"/>
    <w:rsid w:val="000E06C3"/>
    <w:rsid w:val="000E2D2E"/>
    <w:rsid w:val="000E3608"/>
    <w:rsid w:val="000E3BDE"/>
    <w:rsid w:val="000E3E2B"/>
    <w:rsid w:val="000E4B0D"/>
    <w:rsid w:val="000E609A"/>
    <w:rsid w:val="000E6156"/>
    <w:rsid w:val="000E738E"/>
    <w:rsid w:val="000E76FB"/>
    <w:rsid w:val="000E7A88"/>
    <w:rsid w:val="000E7B88"/>
    <w:rsid w:val="000F2293"/>
    <w:rsid w:val="000F2A93"/>
    <w:rsid w:val="000F45B5"/>
    <w:rsid w:val="000F4838"/>
    <w:rsid w:val="000F4864"/>
    <w:rsid w:val="000F5B92"/>
    <w:rsid w:val="000F66D4"/>
    <w:rsid w:val="000F7287"/>
    <w:rsid w:val="0010196D"/>
    <w:rsid w:val="00101E06"/>
    <w:rsid w:val="001023A3"/>
    <w:rsid w:val="00104259"/>
    <w:rsid w:val="001047D6"/>
    <w:rsid w:val="00105625"/>
    <w:rsid w:val="001072A9"/>
    <w:rsid w:val="001100A6"/>
    <w:rsid w:val="001133C4"/>
    <w:rsid w:val="00114144"/>
    <w:rsid w:val="00117780"/>
    <w:rsid w:val="001202F6"/>
    <w:rsid w:val="00120578"/>
    <w:rsid w:val="001208E6"/>
    <w:rsid w:val="00120B1A"/>
    <w:rsid w:val="001219DA"/>
    <w:rsid w:val="00121DEB"/>
    <w:rsid w:val="00121E97"/>
    <w:rsid w:val="001225DC"/>
    <w:rsid w:val="00124DA3"/>
    <w:rsid w:val="001260A1"/>
    <w:rsid w:val="00127816"/>
    <w:rsid w:val="001278EC"/>
    <w:rsid w:val="00127A04"/>
    <w:rsid w:val="00130440"/>
    <w:rsid w:val="00131296"/>
    <w:rsid w:val="001325B8"/>
    <w:rsid w:val="0013521D"/>
    <w:rsid w:val="00136678"/>
    <w:rsid w:val="00136BFF"/>
    <w:rsid w:val="00137769"/>
    <w:rsid w:val="00141787"/>
    <w:rsid w:val="00142115"/>
    <w:rsid w:val="00143001"/>
    <w:rsid w:val="00144AB2"/>
    <w:rsid w:val="001472FC"/>
    <w:rsid w:val="00147539"/>
    <w:rsid w:val="00147DA3"/>
    <w:rsid w:val="00150BF4"/>
    <w:rsid w:val="0015108F"/>
    <w:rsid w:val="00151F1A"/>
    <w:rsid w:val="001532A8"/>
    <w:rsid w:val="00154C5D"/>
    <w:rsid w:val="00155588"/>
    <w:rsid w:val="001556D3"/>
    <w:rsid w:val="00155CF7"/>
    <w:rsid w:val="00162284"/>
    <w:rsid w:val="00162D04"/>
    <w:rsid w:val="00163BE6"/>
    <w:rsid w:val="00163E4A"/>
    <w:rsid w:val="00164850"/>
    <w:rsid w:val="00164D89"/>
    <w:rsid w:val="00165956"/>
    <w:rsid w:val="00165973"/>
    <w:rsid w:val="00165F0E"/>
    <w:rsid w:val="00166E3A"/>
    <w:rsid w:val="00174046"/>
    <w:rsid w:val="00174916"/>
    <w:rsid w:val="0017568C"/>
    <w:rsid w:val="00175983"/>
    <w:rsid w:val="00175A57"/>
    <w:rsid w:val="001777D5"/>
    <w:rsid w:val="001803F3"/>
    <w:rsid w:val="0018045F"/>
    <w:rsid w:val="001808E1"/>
    <w:rsid w:val="001823C7"/>
    <w:rsid w:val="00185795"/>
    <w:rsid w:val="00186070"/>
    <w:rsid w:val="00186AA4"/>
    <w:rsid w:val="0018769B"/>
    <w:rsid w:val="00187F56"/>
    <w:rsid w:val="00191198"/>
    <w:rsid w:val="00192562"/>
    <w:rsid w:val="001954A8"/>
    <w:rsid w:val="00197049"/>
    <w:rsid w:val="001A2014"/>
    <w:rsid w:val="001A2968"/>
    <w:rsid w:val="001A7A0C"/>
    <w:rsid w:val="001A7C7F"/>
    <w:rsid w:val="001B3067"/>
    <w:rsid w:val="001B330C"/>
    <w:rsid w:val="001B364A"/>
    <w:rsid w:val="001B6A96"/>
    <w:rsid w:val="001B71EB"/>
    <w:rsid w:val="001B75C9"/>
    <w:rsid w:val="001C01AA"/>
    <w:rsid w:val="001C16F6"/>
    <w:rsid w:val="001C1DF1"/>
    <w:rsid w:val="001C55F7"/>
    <w:rsid w:val="001C5BD6"/>
    <w:rsid w:val="001C5FF1"/>
    <w:rsid w:val="001C6BDC"/>
    <w:rsid w:val="001D1A2F"/>
    <w:rsid w:val="001D3839"/>
    <w:rsid w:val="001D4ADA"/>
    <w:rsid w:val="001D6307"/>
    <w:rsid w:val="001D6760"/>
    <w:rsid w:val="001D6BA1"/>
    <w:rsid w:val="001D6CC5"/>
    <w:rsid w:val="001E129E"/>
    <w:rsid w:val="001E2A20"/>
    <w:rsid w:val="001E2DB0"/>
    <w:rsid w:val="001E3847"/>
    <w:rsid w:val="001E5F04"/>
    <w:rsid w:val="001E5FC4"/>
    <w:rsid w:val="001E700D"/>
    <w:rsid w:val="001F2883"/>
    <w:rsid w:val="001F290B"/>
    <w:rsid w:val="001F2AC9"/>
    <w:rsid w:val="001F2FDF"/>
    <w:rsid w:val="001F427C"/>
    <w:rsid w:val="001F4D66"/>
    <w:rsid w:val="001F4E05"/>
    <w:rsid w:val="001F5169"/>
    <w:rsid w:val="001F645C"/>
    <w:rsid w:val="001F6E39"/>
    <w:rsid w:val="001F745D"/>
    <w:rsid w:val="001F75EE"/>
    <w:rsid w:val="00200108"/>
    <w:rsid w:val="0020012F"/>
    <w:rsid w:val="00200DC6"/>
    <w:rsid w:val="00201DB6"/>
    <w:rsid w:val="00202688"/>
    <w:rsid w:val="00202B6F"/>
    <w:rsid w:val="00204500"/>
    <w:rsid w:val="002058B9"/>
    <w:rsid w:val="00205F3C"/>
    <w:rsid w:val="0020695E"/>
    <w:rsid w:val="00207044"/>
    <w:rsid w:val="0021227A"/>
    <w:rsid w:val="00212E01"/>
    <w:rsid w:val="00213AF4"/>
    <w:rsid w:val="00215E5A"/>
    <w:rsid w:val="00216411"/>
    <w:rsid w:val="00217119"/>
    <w:rsid w:val="0021728F"/>
    <w:rsid w:val="00220527"/>
    <w:rsid w:val="002227B6"/>
    <w:rsid w:val="00225579"/>
    <w:rsid w:val="00226628"/>
    <w:rsid w:val="00226FCE"/>
    <w:rsid w:val="00227E94"/>
    <w:rsid w:val="002326AC"/>
    <w:rsid w:val="002348B7"/>
    <w:rsid w:val="002354EF"/>
    <w:rsid w:val="00235F02"/>
    <w:rsid w:val="0024035A"/>
    <w:rsid w:val="002405AC"/>
    <w:rsid w:val="00241F34"/>
    <w:rsid w:val="00242B56"/>
    <w:rsid w:val="00242C39"/>
    <w:rsid w:val="002452CB"/>
    <w:rsid w:val="00245F8C"/>
    <w:rsid w:val="002467F4"/>
    <w:rsid w:val="00246C29"/>
    <w:rsid w:val="00246D48"/>
    <w:rsid w:val="00247386"/>
    <w:rsid w:val="00247444"/>
    <w:rsid w:val="00250132"/>
    <w:rsid w:val="00250154"/>
    <w:rsid w:val="0025272C"/>
    <w:rsid w:val="00254C52"/>
    <w:rsid w:val="00256618"/>
    <w:rsid w:val="00256EC0"/>
    <w:rsid w:val="00257C3A"/>
    <w:rsid w:val="00260F24"/>
    <w:rsid w:val="0026280C"/>
    <w:rsid w:val="002647D7"/>
    <w:rsid w:val="00264D7A"/>
    <w:rsid w:val="00265FC0"/>
    <w:rsid w:val="00266745"/>
    <w:rsid w:val="00266A45"/>
    <w:rsid w:val="00267357"/>
    <w:rsid w:val="00267613"/>
    <w:rsid w:val="0026774A"/>
    <w:rsid w:val="00267D0A"/>
    <w:rsid w:val="00271D9C"/>
    <w:rsid w:val="0027287E"/>
    <w:rsid w:val="0027385F"/>
    <w:rsid w:val="002743BC"/>
    <w:rsid w:val="00274CC7"/>
    <w:rsid w:val="002754BC"/>
    <w:rsid w:val="002754CD"/>
    <w:rsid w:val="00277EE5"/>
    <w:rsid w:val="00281808"/>
    <w:rsid w:val="00283270"/>
    <w:rsid w:val="002842C2"/>
    <w:rsid w:val="002844EA"/>
    <w:rsid w:val="002850BE"/>
    <w:rsid w:val="00290DA5"/>
    <w:rsid w:val="002915D7"/>
    <w:rsid w:val="00291C95"/>
    <w:rsid w:val="00291DEA"/>
    <w:rsid w:val="002934CB"/>
    <w:rsid w:val="002938B3"/>
    <w:rsid w:val="00293EBE"/>
    <w:rsid w:val="00293FB1"/>
    <w:rsid w:val="00294468"/>
    <w:rsid w:val="00296204"/>
    <w:rsid w:val="00296CC3"/>
    <w:rsid w:val="002973CD"/>
    <w:rsid w:val="002A14BD"/>
    <w:rsid w:val="002A1729"/>
    <w:rsid w:val="002A299E"/>
    <w:rsid w:val="002A308C"/>
    <w:rsid w:val="002A5B69"/>
    <w:rsid w:val="002B0506"/>
    <w:rsid w:val="002B0638"/>
    <w:rsid w:val="002B0E4A"/>
    <w:rsid w:val="002B3D98"/>
    <w:rsid w:val="002B4101"/>
    <w:rsid w:val="002B50F2"/>
    <w:rsid w:val="002B5F27"/>
    <w:rsid w:val="002B6416"/>
    <w:rsid w:val="002B6B8B"/>
    <w:rsid w:val="002B73DA"/>
    <w:rsid w:val="002C006D"/>
    <w:rsid w:val="002C11D4"/>
    <w:rsid w:val="002C11F7"/>
    <w:rsid w:val="002C38A6"/>
    <w:rsid w:val="002C5D25"/>
    <w:rsid w:val="002C6293"/>
    <w:rsid w:val="002D038C"/>
    <w:rsid w:val="002D2795"/>
    <w:rsid w:val="002D5F92"/>
    <w:rsid w:val="002D68C8"/>
    <w:rsid w:val="002E1144"/>
    <w:rsid w:val="002E2BBD"/>
    <w:rsid w:val="002E368F"/>
    <w:rsid w:val="002E36D3"/>
    <w:rsid w:val="002E3935"/>
    <w:rsid w:val="002E46D8"/>
    <w:rsid w:val="002E4BB7"/>
    <w:rsid w:val="002E5165"/>
    <w:rsid w:val="002E661D"/>
    <w:rsid w:val="002E7B1C"/>
    <w:rsid w:val="002E7E4C"/>
    <w:rsid w:val="002F1D84"/>
    <w:rsid w:val="002F4751"/>
    <w:rsid w:val="002F4ABD"/>
    <w:rsid w:val="002F5369"/>
    <w:rsid w:val="002F5C60"/>
    <w:rsid w:val="002F6670"/>
    <w:rsid w:val="002F6BC1"/>
    <w:rsid w:val="002F6CCF"/>
    <w:rsid w:val="003000DF"/>
    <w:rsid w:val="0030206D"/>
    <w:rsid w:val="003027FB"/>
    <w:rsid w:val="00304295"/>
    <w:rsid w:val="00304853"/>
    <w:rsid w:val="00304B39"/>
    <w:rsid w:val="0031085B"/>
    <w:rsid w:val="003112E6"/>
    <w:rsid w:val="00311B10"/>
    <w:rsid w:val="00312C72"/>
    <w:rsid w:val="00312E15"/>
    <w:rsid w:val="00313E6B"/>
    <w:rsid w:val="00313EC1"/>
    <w:rsid w:val="00314637"/>
    <w:rsid w:val="00314B2A"/>
    <w:rsid w:val="0031579E"/>
    <w:rsid w:val="00316065"/>
    <w:rsid w:val="00320AA8"/>
    <w:rsid w:val="003214BD"/>
    <w:rsid w:val="003225E1"/>
    <w:rsid w:val="00323B63"/>
    <w:rsid w:val="00325E72"/>
    <w:rsid w:val="003262E0"/>
    <w:rsid w:val="00326DDA"/>
    <w:rsid w:val="00327B15"/>
    <w:rsid w:val="00330455"/>
    <w:rsid w:val="003307B6"/>
    <w:rsid w:val="00330F3D"/>
    <w:rsid w:val="00332AD9"/>
    <w:rsid w:val="00333187"/>
    <w:rsid w:val="00333632"/>
    <w:rsid w:val="0033394F"/>
    <w:rsid w:val="003339AA"/>
    <w:rsid w:val="00334086"/>
    <w:rsid w:val="00334B49"/>
    <w:rsid w:val="00335C79"/>
    <w:rsid w:val="00336261"/>
    <w:rsid w:val="0033667F"/>
    <w:rsid w:val="003428A6"/>
    <w:rsid w:val="00342DF1"/>
    <w:rsid w:val="0034322C"/>
    <w:rsid w:val="00343E1D"/>
    <w:rsid w:val="00343FE1"/>
    <w:rsid w:val="00345CE9"/>
    <w:rsid w:val="003465B0"/>
    <w:rsid w:val="0034684F"/>
    <w:rsid w:val="003508C4"/>
    <w:rsid w:val="003508F2"/>
    <w:rsid w:val="00350AA8"/>
    <w:rsid w:val="003511BA"/>
    <w:rsid w:val="00351840"/>
    <w:rsid w:val="00353D32"/>
    <w:rsid w:val="00355F08"/>
    <w:rsid w:val="00357B62"/>
    <w:rsid w:val="00360EDF"/>
    <w:rsid w:val="003616D5"/>
    <w:rsid w:val="00361FC4"/>
    <w:rsid w:val="00362063"/>
    <w:rsid w:val="003631D4"/>
    <w:rsid w:val="00363B10"/>
    <w:rsid w:val="0036402C"/>
    <w:rsid w:val="00364246"/>
    <w:rsid w:val="00365587"/>
    <w:rsid w:val="00366B1F"/>
    <w:rsid w:val="00370D88"/>
    <w:rsid w:val="00371B2E"/>
    <w:rsid w:val="003725A0"/>
    <w:rsid w:val="00372B5E"/>
    <w:rsid w:val="003732FF"/>
    <w:rsid w:val="003733CD"/>
    <w:rsid w:val="00373541"/>
    <w:rsid w:val="00373BB0"/>
    <w:rsid w:val="00373E12"/>
    <w:rsid w:val="00373FDA"/>
    <w:rsid w:val="0037473E"/>
    <w:rsid w:val="00377CAA"/>
    <w:rsid w:val="00381F15"/>
    <w:rsid w:val="0038266D"/>
    <w:rsid w:val="0038286E"/>
    <w:rsid w:val="00384E72"/>
    <w:rsid w:val="003856DD"/>
    <w:rsid w:val="003859CF"/>
    <w:rsid w:val="00386DAE"/>
    <w:rsid w:val="003872FA"/>
    <w:rsid w:val="00387CDC"/>
    <w:rsid w:val="00390C0A"/>
    <w:rsid w:val="003917D2"/>
    <w:rsid w:val="00392F12"/>
    <w:rsid w:val="003936E1"/>
    <w:rsid w:val="0039643F"/>
    <w:rsid w:val="00397321"/>
    <w:rsid w:val="003A02F6"/>
    <w:rsid w:val="003A12E0"/>
    <w:rsid w:val="003A1717"/>
    <w:rsid w:val="003A176C"/>
    <w:rsid w:val="003A2240"/>
    <w:rsid w:val="003A3C46"/>
    <w:rsid w:val="003A4205"/>
    <w:rsid w:val="003A5360"/>
    <w:rsid w:val="003A5D0B"/>
    <w:rsid w:val="003A62F1"/>
    <w:rsid w:val="003A65D1"/>
    <w:rsid w:val="003B0C95"/>
    <w:rsid w:val="003B1139"/>
    <w:rsid w:val="003B14E9"/>
    <w:rsid w:val="003B16F4"/>
    <w:rsid w:val="003B3B92"/>
    <w:rsid w:val="003B48D5"/>
    <w:rsid w:val="003B4F83"/>
    <w:rsid w:val="003B7506"/>
    <w:rsid w:val="003B7621"/>
    <w:rsid w:val="003B79C5"/>
    <w:rsid w:val="003C0763"/>
    <w:rsid w:val="003C161E"/>
    <w:rsid w:val="003C1909"/>
    <w:rsid w:val="003C3F48"/>
    <w:rsid w:val="003C4972"/>
    <w:rsid w:val="003C5581"/>
    <w:rsid w:val="003C7445"/>
    <w:rsid w:val="003C7621"/>
    <w:rsid w:val="003D1755"/>
    <w:rsid w:val="003D2231"/>
    <w:rsid w:val="003D2EB4"/>
    <w:rsid w:val="003D3A37"/>
    <w:rsid w:val="003D48E6"/>
    <w:rsid w:val="003D4B47"/>
    <w:rsid w:val="003D608E"/>
    <w:rsid w:val="003D65E6"/>
    <w:rsid w:val="003D6E6B"/>
    <w:rsid w:val="003D710E"/>
    <w:rsid w:val="003D7156"/>
    <w:rsid w:val="003D7D17"/>
    <w:rsid w:val="003E036B"/>
    <w:rsid w:val="003E06DC"/>
    <w:rsid w:val="003E0953"/>
    <w:rsid w:val="003E1EF1"/>
    <w:rsid w:val="003E238D"/>
    <w:rsid w:val="003E33CA"/>
    <w:rsid w:val="003E4753"/>
    <w:rsid w:val="003E505B"/>
    <w:rsid w:val="003E5A58"/>
    <w:rsid w:val="003E6298"/>
    <w:rsid w:val="003E6803"/>
    <w:rsid w:val="003E6D84"/>
    <w:rsid w:val="003E7A11"/>
    <w:rsid w:val="003E7ACD"/>
    <w:rsid w:val="003F0248"/>
    <w:rsid w:val="003F07AB"/>
    <w:rsid w:val="003F0991"/>
    <w:rsid w:val="003F0DA9"/>
    <w:rsid w:val="003F11C6"/>
    <w:rsid w:val="003F1225"/>
    <w:rsid w:val="003F1D8C"/>
    <w:rsid w:val="003F2750"/>
    <w:rsid w:val="003F4D4E"/>
    <w:rsid w:val="003F6327"/>
    <w:rsid w:val="003F76EE"/>
    <w:rsid w:val="00400B81"/>
    <w:rsid w:val="00403A82"/>
    <w:rsid w:val="00405C1D"/>
    <w:rsid w:val="00405C91"/>
    <w:rsid w:val="00407CF8"/>
    <w:rsid w:val="00410363"/>
    <w:rsid w:val="004109DF"/>
    <w:rsid w:val="00411023"/>
    <w:rsid w:val="00411E02"/>
    <w:rsid w:val="00411EB9"/>
    <w:rsid w:val="004135EA"/>
    <w:rsid w:val="00415BBC"/>
    <w:rsid w:val="0041796C"/>
    <w:rsid w:val="0042149B"/>
    <w:rsid w:val="00422019"/>
    <w:rsid w:val="00423792"/>
    <w:rsid w:val="004237BA"/>
    <w:rsid w:val="00424635"/>
    <w:rsid w:val="0042609E"/>
    <w:rsid w:val="00426C41"/>
    <w:rsid w:val="004272FE"/>
    <w:rsid w:val="00430FAA"/>
    <w:rsid w:val="00431FD0"/>
    <w:rsid w:val="00434246"/>
    <w:rsid w:val="00434EEA"/>
    <w:rsid w:val="004361BA"/>
    <w:rsid w:val="00436C62"/>
    <w:rsid w:val="00436F33"/>
    <w:rsid w:val="004414E8"/>
    <w:rsid w:val="004416E6"/>
    <w:rsid w:val="0044212C"/>
    <w:rsid w:val="004477BD"/>
    <w:rsid w:val="00450A04"/>
    <w:rsid w:val="00450F11"/>
    <w:rsid w:val="00451E0A"/>
    <w:rsid w:val="00452E95"/>
    <w:rsid w:val="00455F6E"/>
    <w:rsid w:val="00456E2E"/>
    <w:rsid w:val="00461D81"/>
    <w:rsid w:val="0046300D"/>
    <w:rsid w:val="00463A8B"/>
    <w:rsid w:val="00463D23"/>
    <w:rsid w:val="00463ED9"/>
    <w:rsid w:val="00463F8F"/>
    <w:rsid w:val="00465F48"/>
    <w:rsid w:val="00466D63"/>
    <w:rsid w:val="004671F5"/>
    <w:rsid w:val="00467F0A"/>
    <w:rsid w:val="00467FA8"/>
    <w:rsid w:val="004704A9"/>
    <w:rsid w:val="00471408"/>
    <w:rsid w:val="004718E6"/>
    <w:rsid w:val="00471C48"/>
    <w:rsid w:val="0047267D"/>
    <w:rsid w:val="00472F7B"/>
    <w:rsid w:val="0047332F"/>
    <w:rsid w:val="0047637E"/>
    <w:rsid w:val="00480158"/>
    <w:rsid w:val="00480484"/>
    <w:rsid w:val="00481334"/>
    <w:rsid w:val="00487A89"/>
    <w:rsid w:val="00492EB8"/>
    <w:rsid w:val="00493BBC"/>
    <w:rsid w:val="00494746"/>
    <w:rsid w:val="00497A8B"/>
    <w:rsid w:val="004A016F"/>
    <w:rsid w:val="004A01F0"/>
    <w:rsid w:val="004A3811"/>
    <w:rsid w:val="004A3B73"/>
    <w:rsid w:val="004A6F85"/>
    <w:rsid w:val="004A772F"/>
    <w:rsid w:val="004B0A4F"/>
    <w:rsid w:val="004B13AB"/>
    <w:rsid w:val="004B14E1"/>
    <w:rsid w:val="004B2FFD"/>
    <w:rsid w:val="004B72D0"/>
    <w:rsid w:val="004C04A9"/>
    <w:rsid w:val="004C0585"/>
    <w:rsid w:val="004C0D37"/>
    <w:rsid w:val="004C16C3"/>
    <w:rsid w:val="004C4332"/>
    <w:rsid w:val="004C4410"/>
    <w:rsid w:val="004C5912"/>
    <w:rsid w:val="004C73E5"/>
    <w:rsid w:val="004D0E22"/>
    <w:rsid w:val="004D42FC"/>
    <w:rsid w:val="004D4978"/>
    <w:rsid w:val="004D6517"/>
    <w:rsid w:val="004E02DF"/>
    <w:rsid w:val="004E08E2"/>
    <w:rsid w:val="004E11BE"/>
    <w:rsid w:val="004E14E9"/>
    <w:rsid w:val="004E3155"/>
    <w:rsid w:val="004E3CF0"/>
    <w:rsid w:val="004E4598"/>
    <w:rsid w:val="004E50DF"/>
    <w:rsid w:val="004E7E42"/>
    <w:rsid w:val="004E7F29"/>
    <w:rsid w:val="004F1367"/>
    <w:rsid w:val="004F152A"/>
    <w:rsid w:val="004F1746"/>
    <w:rsid w:val="004F1B42"/>
    <w:rsid w:val="004F260E"/>
    <w:rsid w:val="004F2C34"/>
    <w:rsid w:val="004F37AA"/>
    <w:rsid w:val="004F3B84"/>
    <w:rsid w:val="004F46B3"/>
    <w:rsid w:val="004F4869"/>
    <w:rsid w:val="004F4BDB"/>
    <w:rsid w:val="004F4EFA"/>
    <w:rsid w:val="004F66CE"/>
    <w:rsid w:val="00500FD9"/>
    <w:rsid w:val="005014E7"/>
    <w:rsid w:val="005016AF"/>
    <w:rsid w:val="00502781"/>
    <w:rsid w:val="00504E2B"/>
    <w:rsid w:val="00510B1A"/>
    <w:rsid w:val="00513166"/>
    <w:rsid w:val="00513C8F"/>
    <w:rsid w:val="00513D06"/>
    <w:rsid w:val="00513F46"/>
    <w:rsid w:val="00514707"/>
    <w:rsid w:val="00517C15"/>
    <w:rsid w:val="00517DA4"/>
    <w:rsid w:val="00521227"/>
    <w:rsid w:val="005245FC"/>
    <w:rsid w:val="005250D0"/>
    <w:rsid w:val="005279DE"/>
    <w:rsid w:val="00530156"/>
    <w:rsid w:val="00531ADA"/>
    <w:rsid w:val="0053328E"/>
    <w:rsid w:val="00534E7B"/>
    <w:rsid w:val="00535E27"/>
    <w:rsid w:val="0053771E"/>
    <w:rsid w:val="005400C0"/>
    <w:rsid w:val="0054138B"/>
    <w:rsid w:val="005474A0"/>
    <w:rsid w:val="005477A3"/>
    <w:rsid w:val="00550617"/>
    <w:rsid w:val="00553510"/>
    <w:rsid w:val="00556B52"/>
    <w:rsid w:val="00556F22"/>
    <w:rsid w:val="00557DC7"/>
    <w:rsid w:val="00560855"/>
    <w:rsid w:val="00561517"/>
    <w:rsid w:val="005634D6"/>
    <w:rsid w:val="00566622"/>
    <w:rsid w:val="0056685D"/>
    <w:rsid w:val="00574695"/>
    <w:rsid w:val="005779B5"/>
    <w:rsid w:val="0058010F"/>
    <w:rsid w:val="00580926"/>
    <w:rsid w:val="00582CCA"/>
    <w:rsid w:val="00584ADD"/>
    <w:rsid w:val="0058599D"/>
    <w:rsid w:val="00590E93"/>
    <w:rsid w:val="00594088"/>
    <w:rsid w:val="0059469C"/>
    <w:rsid w:val="00594CE0"/>
    <w:rsid w:val="005964CA"/>
    <w:rsid w:val="005976D7"/>
    <w:rsid w:val="005A06B4"/>
    <w:rsid w:val="005A1E22"/>
    <w:rsid w:val="005A71AF"/>
    <w:rsid w:val="005A760E"/>
    <w:rsid w:val="005B00E6"/>
    <w:rsid w:val="005B0E43"/>
    <w:rsid w:val="005B2A00"/>
    <w:rsid w:val="005B3AAD"/>
    <w:rsid w:val="005B41AF"/>
    <w:rsid w:val="005B4AB9"/>
    <w:rsid w:val="005B5EC2"/>
    <w:rsid w:val="005B7166"/>
    <w:rsid w:val="005C0F73"/>
    <w:rsid w:val="005C1E1F"/>
    <w:rsid w:val="005C24E1"/>
    <w:rsid w:val="005C402F"/>
    <w:rsid w:val="005C48FA"/>
    <w:rsid w:val="005D037C"/>
    <w:rsid w:val="005D0C02"/>
    <w:rsid w:val="005D2691"/>
    <w:rsid w:val="005D302D"/>
    <w:rsid w:val="005D375C"/>
    <w:rsid w:val="005D4413"/>
    <w:rsid w:val="005D4DF9"/>
    <w:rsid w:val="005D7376"/>
    <w:rsid w:val="005E1C90"/>
    <w:rsid w:val="005E1FB8"/>
    <w:rsid w:val="005E2707"/>
    <w:rsid w:val="005E6E41"/>
    <w:rsid w:val="005F04A9"/>
    <w:rsid w:val="005F0EBC"/>
    <w:rsid w:val="005F0F21"/>
    <w:rsid w:val="005F4AC8"/>
    <w:rsid w:val="005F4DF3"/>
    <w:rsid w:val="005F6A81"/>
    <w:rsid w:val="005F6ABD"/>
    <w:rsid w:val="005F6BD6"/>
    <w:rsid w:val="005F703F"/>
    <w:rsid w:val="00600133"/>
    <w:rsid w:val="00601616"/>
    <w:rsid w:val="006019F3"/>
    <w:rsid w:val="00601B20"/>
    <w:rsid w:val="00602DF8"/>
    <w:rsid w:val="00602E39"/>
    <w:rsid w:val="0060303F"/>
    <w:rsid w:val="00603C0B"/>
    <w:rsid w:val="00603C70"/>
    <w:rsid w:val="00607501"/>
    <w:rsid w:val="00607BE0"/>
    <w:rsid w:val="00611480"/>
    <w:rsid w:val="006129A7"/>
    <w:rsid w:val="00613500"/>
    <w:rsid w:val="006149BF"/>
    <w:rsid w:val="00615510"/>
    <w:rsid w:val="00617028"/>
    <w:rsid w:val="0061766D"/>
    <w:rsid w:val="006216A1"/>
    <w:rsid w:val="0062176A"/>
    <w:rsid w:val="00622FBF"/>
    <w:rsid w:val="00624847"/>
    <w:rsid w:val="00625140"/>
    <w:rsid w:val="0063144E"/>
    <w:rsid w:val="006323C2"/>
    <w:rsid w:val="00633FBD"/>
    <w:rsid w:val="00634102"/>
    <w:rsid w:val="006341D1"/>
    <w:rsid w:val="006342B0"/>
    <w:rsid w:val="006346E8"/>
    <w:rsid w:val="006360FF"/>
    <w:rsid w:val="00636243"/>
    <w:rsid w:val="006415FD"/>
    <w:rsid w:val="0064166E"/>
    <w:rsid w:val="00642B69"/>
    <w:rsid w:val="0064449A"/>
    <w:rsid w:val="006451D9"/>
    <w:rsid w:val="00645F27"/>
    <w:rsid w:val="00646C9E"/>
    <w:rsid w:val="00650294"/>
    <w:rsid w:val="006522B9"/>
    <w:rsid w:val="00652DC9"/>
    <w:rsid w:val="00653026"/>
    <w:rsid w:val="0065451A"/>
    <w:rsid w:val="00657708"/>
    <w:rsid w:val="00660836"/>
    <w:rsid w:val="00661A5A"/>
    <w:rsid w:val="0066255A"/>
    <w:rsid w:val="0066264E"/>
    <w:rsid w:val="00662D17"/>
    <w:rsid w:val="00662DB0"/>
    <w:rsid w:val="00662EC4"/>
    <w:rsid w:val="006632AD"/>
    <w:rsid w:val="0066379E"/>
    <w:rsid w:val="006644D9"/>
    <w:rsid w:val="0066508B"/>
    <w:rsid w:val="00665B40"/>
    <w:rsid w:val="00666EF3"/>
    <w:rsid w:val="0067049E"/>
    <w:rsid w:val="00670E00"/>
    <w:rsid w:val="00671203"/>
    <w:rsid w:val="00671418"/>
    <w:rsid w:val="006717CA"/>
    <w:rsid w:val="00671E6E"/>
    <w:rsid w:val="0067284B"/>
    <w:rsid w:val="00673CCD"/>
    <w:rsid w:val="006745C0"/>
    <w:rsid w:val="00676084"/>
    <w:rsid w:val="006763A7"/>
    <w:rsid w:val="006819ED"/>
    <w:rsid w:val="00682D5C"/>
    <w:rsid w:val="00683864"/>
    <w:rsid w:val="00686935"/>
    <w:rsid w:val="006872A7"/>
    <w:rsid w:val="00691847"/>
    <w:rsid w:val="00691AAB"/>
    <w:rsid w:val="00691D91"/>
    <w:rsid w:val="00693161"/>
    <w:rsid w:val="006953A0"/>
    <w:rsid w:val="00695627"/>
    <w:rsid w:val="006969CA"/>
    <w:rsid w:val="00696A62"/>
    <w:rsid w:val="00697675"/>
    <w:rsid w:val="006A017F"/>
    <w:rsid w:val="006A2D90"/>
    <w:rsid w:val="006A3CE9"/>
    <w:rsid w:val="006A4EE0"/>
    <w:rsid w:val="006A5CE6"/>
    <w:rsid w:val="006A7270"/>
    <w:rsid w:val="006A737A"/>
    <w:rsid w:val="006A7B23"/>
    <w:rsid w:val="006B1099"/>
    <w:rsid w:val="006B1D48"/>
    <w:rsid w:val="006B25C0"/>
    <w:rsid w:val="006B3F19"/>
    <w:rsid w:val="006B446F"/>
    <w:rsid w:val="006B44E1"/>
    <w:rsid w:val="006B516E"/>
    <w:rsid w:val="006B5335"/>
    <w:rsid w:val="006B59D3"/>
    <w:rsid w:val="006B6372"/>
    <w:rsid w:val="006C029C"/>
    <w:rsid w:val="006C2689"/>
    <w:rsid w:val="006C2DF2"/>
    <w:rsid w:val="006C52C2"/>
    <w:rsid w:val="006C5C64"/>
    <w:rsid w:val="006D14DD"/>
    <w:rsid w:val="006D21A8"/>
    <w:rsid w:val="006D26B4"/>
    <w:rsid w:val="006D443E"/>
    <w:rsid w:val="006D51CE"/>
    <w:rsid w:val="006D5591"/>
    <w:rsid w:val="006D6E21"/>
    <w:rsid w:val="006D7A53"/>
    <w:rsid w:val="006D7D3B"/>
    <w:rsid w:val="006E09EA"/>
    <w:rsid w:val="006E2F06"/>
    <w:rsid w:val="006E3E8A"/>
    <w:rsid w:val="006E45E7"/>
    <w:rsid w:val="006E6643"/>
    <w:rsid w:val="006E7292"/>
    <w:rsid w:val="006F06C1"/>
    <w:rsid w:val="006F338E"/>
    <w:rsid w:val="006F4CE2"/>
    <w:rsid w:val="006F500C"/>
    <w:rsid w:val="006F512A"/>
    <w:rsid w:val="006F5799"/>
    <w:rsid w:val="006F57D4"/>
    <w:rsid w:val="006F6DA9"/>
    <w:rsid w:val="006F7483"/>
    <w:rsid w:val="0070018C"/>
    <w:rsid w:val="00700532"/>
    <w:rsid w:val="007007FB"/>
    <w:rsid w:val="00702144"/>
    <w:rsid w:val="00703161"/>
    <w:rsid w:val="007047E9"/>
    <w:rsid w:val="00704F24"/>
    <w:rsid w:val="00704F34"/>
    <w:rsid w:val="00705242"/>
    <w:rsid w:val="00705604"/>
    <w:rsid w:val="0070624A"/>
    <w:rsid w:val="00706B7F"/>
    <w:rsid w:val="007127DF"/>
    <w:rsid w:val="00713758"/>
    <w:rsid w:val="0071380C"/>
    <w:rsid w:val="00713F32"/>
    <w:rsid w:val="00714736"/>
    <w:rsid w:val="00714CEC"/>
    <w:rsid w:val="00715217"/>
    <w:rsid w:val="007156A2"/>
    <w:rsid w:val="007157D3"/>
    <w:rsid w:val="00715DE6"/>
    <w:rsid w:val="00715FF9"/>
    <w:rsid w:val="00716EC3"/>
    <w:rsid w:val="00717C89"/>
    <w:rsid w:val="00721013"/>
    <w:rsid w:val="00721D8F"/>
    <w:rsid w:val="0072585C"/>
    <w:rsid w:val="007317DA"/>
    <w:rsid w:val="007333FC"/>
    <w:rsid w:val="00733660"/>
    <w:rsid w:val="00733BA8"/>
    <w:rsid w:val="00740A79"/>
    <w:rsid w:val="00740BA9"/>
    <w:rsid w:val="0074158B"/>
    <w:rsid w:val="007425FB"/>
    <w:rsid w:val="0074296B"/>
    <w:rsid w:val="00744261"/>
    <w:rsid w:val="00744C26"/>
    <w:rsid w:val="00746017"/>
    <w:rsid w:val="007479B3"/>
    <w:rsid w:val="00750B60"/>
    <w:rsid w:val="00750D86"/>
    <w:rsid w:val="0075187C"/>
    <w:rsid w:val="00752056"/>
    <w:rsid w:val="00752D81"/>
    <w:rsid w:val="00752FD5"/>
    <w:rsid w:val="007553BA"/>
    <w:rsid w:val="00756A47"/>
    <w:rsid w:val="00761C0F"/>
    <w:rsid w:val="00763F42"/>
    <w:rsid w:val="00765CAB"/>
    <w:rsid w:val="00767BE4"/>
    <w:rsid w:val="00770132"/>
    <w:rsid w:val="007711B1"/>
    <w:rsid w:val="007722ED"/>
    <w:rsid w:val="00774F75"/>
    <w:rsid w:val="00775739"/>
    <w:rsid w:val="00781AF0"/>
    <w:rsid w:val="00781EC6"/>
    <w:rsid w:val="0078263D"/>
    <w:rsid w:val="007839BE"/>
    <w:rsid w:val="00783B06"/>
    <w:rsid w:val="00784EFB"/>
    <w:rsid w:val="00785356"/>
    <w:rsid w:val="0078586E"/>
    <w:rsid w:val="0078615D"/>
    <w:rsid w:val="007912EA"/>
    <w:rsid w:val="00794092"/>
    <w:rsid w:val="00795E10"/>
    <w:rsid w:val="00796C46"/>
    <w:rsid w:val="007A0B55"/>
    <w:rsid w:val="007A114E"/>
    <w:rsid w:val="007A2104"/>
    <w:rsid w:val="007A24B9"/>
    <w:rsid w:val="007A261D"/>
    <w:rsid w:val="007A2DED"/>
    <w:rsid w:val="007A4448"/>
    <w:rsid w:val="007A5085"/>
    <w:rsid w:val="007A5B74"/>
    <w:rsid w:val="007B1366"/>
    <w:rsid w:val="007B239C"/>
    <w:rsid w:val="007B2952"/>
    <w:rsid w:val="007B2FED"/>
    <w:rsid w:val="007B38E1"/>
    <w:rsid w:val="007B5809"/>
    <w:rsid w:val="007B6003"/>
    <w:rsid w:val="007B61CE"/>
    <w:rsid w:val="007C12FA"/>
    <w:rsid w:val="007C1CE4"/>
    <w:rsid w:val="007C3B13"/>
    <w:rsid w:val="007C46E2"/>
    <w:rsid w:val="007C5C9F"/>
    <w:rsid w:val="007D0AE4"/>
    <w:rsid w:val="007D1D32"/>
    <w:rsid w:val="007D5E9D"/>
    <w:rsid w:val="007D75EA"/>
    <w:rsid w:val="007D7CE7"/>
    <w:rsid w:val="007E005C"/>
    <w:rsid w:val="007E1F96"/>
    <w:rsid w:val="007E35C6"/>
    <w:rsid w:val="007F0256"/>
    <w:rsid w:val="007F3CAF"/>
    <w:rsid w:val="007F4119"/>
    <w:rsid w:val="007F5A25"/>
    <w:rsid w:val="007F650B"/>
    <w:rsid w:val="008024F0"/>
    <w:rsid w:val="0080460D"/>
    <w:rsid w:val="008068D6"/>
    <w:rsid w:val="008110F2"/>
    <w:rsid w:val="0081184A"/>
    <w:rsid w:val="008124C3"/>
    <w:rsid w:val="008132CA"/>
    <w:rsid w:val="00816AA0"/>
    <w:rsid w:val="008172C6"/>
    <w:rsid w:val="0081772C"/>
    <w:rsid w:val="0082059F"/>
    <w:rsid w:val="0082194D"/>
    <w:rsid w:val="00822F42"/>
    <w:rsid w:val="008247CB"/>
    <w:rsid w:val="00825137"/>
    <w:rsid w:val="00826B2E"/>
    <w:rsid w:val="00826F71"/>
    <w:rsid w:val="008275BC"/>
    <w:rsid w:val="008307E8"/>
    <w:rsid w:val="00830BF4"/>
    <w:rsid w:val="008348D2"/>
    <w:rsid w:val="00835BA7"/>
    <w:rsid w:val="008409EB"/>
    <w:rsid w:val="00840AD6"/>
    <w:rsid w:val="00842237"/>
    <w:rsid w:val="00842866"/>
    <w:rsid w:val="00842A3B"/>
    <w:rsid w:val="00842C9E"/>
    <w:rsid w:val="00843BBC"/>
    <w:rsid w:val="00843F0F"/>
    <w:rsid w:val="00843FA3"/>
    <w:rsid w:val="008451BC"/>
    <w:rsid w:val="00851E6C"/>
    <w:rsid w:val="00851F39"/>
    <w:rsid w:val="00851F4A"/>
    <w:rsid w:val="00852D89"/>
    <w:rsid w:val="0085324A"/>
    <w:rsid w:val="008544E4"/>
    <w:rsid w:val="00854E1C"/>
    <w:rsid w:val="00855199"/>
    <w:rsid w:val="008558AA"/>
    <w:rsid w:val="00856E41"/>
    <w:rsid w:val="00857690"/>
    <w:rsid w:val="00860581"/>
    <w:rsid w:val="008621C0"/>
    <w:rsid w:val="008704A1"/>
    <w:rsid w:val="00871441"/>
    <w:rsid w:val="008715BE"/>
    <w:rsid w:val="008725A1"/>
    <w:rsid w:val="0087398D"/>
    <w:rsid w:val="0087401E"/>
    <w:rsid w:val="0087445B"/>
    <w:rsid w:val="00875658"/>
    <w:rsid w:val="00875B44"/>
    <w:rsid w:val="008772A4"/>
    <w:rsid w:val="00881424"/>
    <w:rsid w:val="00881560"/>
    <w:rsid w:val="00882002"/>
    <w:rsid w:val="0088243E"/>
    <w:rsid w:val="008848F0"/>
    <w:rsid w:val="008851DD"/>
    <w:rsid w:val="00887BAB"/>
    <w:rsid w:val="00892312"/>
    <w:rsid w:val="00892418"/>
    <w:rsid w:val="00892508"/>
    <w:rsid w:val="008929DD"/>
    <w:rsid w:val="008942B0"/>
    <w:rsid w:val="008958C6"/>
    <w:rsid w:val="0089659F"/>
    <w:rsid w:val="0089777C"/>
    <w:rsid w:val="008A1991"/>
    <w:rsid w:val="008A1F7D"/>
    <w:rsid w:val="008A3F25"/>
    <w:rsid w:val="008A471F"/>
    <w:rsid w:val="008A4F41"/>
    <w:rsid w:val="008A61B8"/>
    <w:rsid w:val="008A7D46"/>
    <w:rsid w:val="008B1E2F"/>
    <w:rsid w:val="008B34AC"/>
    <w:rsid w:val="008B3CED"/>
    <w:rsid w:val="008B43A9"/>
    <w:rsid w:val="008B47D0"/>
    <w:rsid w:val="008B7EE8"/>
    <w:rsid w:val="008C0D2B"/>
    <w:rsid w:val="008C10E2"/>
    <w:rsid w:val="008C144D"/>
    <w:rsid w:val="008C1E20"/>
    <w:rsid w:val="008C34F2"/>
    <w:rsid w:val="008C407E"/>
    <w:rsid w:val="008C466D"/>
    <w:rsid w:val="008C4BC3"/>
    <w:rsid w:val="008C7674"/>
    <w:rsid w:val="008D1369"/>
    <w:rsid w:val="008D25B9"/>
    <w:rsid w:val="008D43A5"/>
    <w:rsid w:val="008D5617"/>
    <w:rsid w:val="008D6482"/>
    <w:rsid w:val="008D668A"/>
    <w:rsid w:val="008D6FA6"/>
    <w:rsid w:val="008E11D0"/>
    <w:rsid w:val="008E3ED0"/>
    <w:rsid w:val="008E46DB"/>
    <w:rsid w:val="008E4E6B"/>
    <w:rsid w:val="008E5009"/>
    <w:rsid w:val="008E6EB8"/>
    <w:rsid w:val="008F070A"/>
    <w:rsid w:val="008F2A19"/>
    <w:rsid w:val="008F37D6"/>
    <w:rsid w:val="008F4198"/>
    <w:rsid w:val="008F41EF"/>
    <w:rsid w:val="008F454A"/>
    <w:rsid w:val="008F769F"/>
    <w:rsid w:val="008F78A6"/>
    <w:rsid w:val="009014DA"/>
    <w:rsid w:val="0090207C"/>
    <w:rsid w:val="009021B6"/>
    <w:rsid w:val="009038DB"/>
    <w:rsid w:val="00903BD1"/>
    <w:rsid w:val="00903E6E"/>
    <w:rsid w:val="00904AA8"/>
    <w:rsid w:val="0090540F"/>
    <w:rsid w:val="00905993"/>
    <w:rsid w:val="009059C7"/>
    <w:rsid w:val="009075F4"/>
    <w:rsid w:val="009100D1"/>
    <w:rsid w:val="009112EB"/>
    <w:rsid w:val="00911607"/>
    <w:rsid w:val="00912A56"/>
    <w:rsid w:val="00915470"/>
    <w:rsid w:val="00915607"/>
    <w:rsid w:val="00916B95"/>
    <w:rsid w:val="0091795F"/>
    <w:rsid w:val="00920AAA"/>
    <w:rsid w:val="00920B03"/>
    <w:rsid w:val="0092195A"/>
    <w:rsid w:val="00921FFA"/>
    <w:rsid w:val="00922762"/>
    <w:rsid w:val="00923F9A"/>
    <w:rsid w:val="009240CA"/>
    <w:rsid w:val="00927341"/>
    <w:rsid w:val="00927C24"/>
    <w:rsid w:val="00930F63"/>
    <w:rsid w:val="009310AC"/>
    <w:rsid w:val="00932283"/>
    <w:rsid w:val="00932EA2"/>
    <w:rsid w:val="00933ACA"/>
    <w:rsid w:val="00935AC9"/>
    <w:rsid w:val="00936254"/>
    <w:rsid w:val="00937B3C"/>
    <w:rsid w:val="00942C47"/>
    <w:rsid w:val="00943A8D"/>
    <w:rsid w:val="00943CD8"/>
    <w:rsid w:val="00943FAF"/>
    <w:rsid w:val="0094592E"/>
    <w:rsid w:val="00946638"/>
    <w:rsid w:val="00946D72"/>
    <w:rsid w:val="00947A91"/>
    <w:rsid w:val="00947B79"/>
    <w:rsid w:val="009501EC"/>
    <w:rsid w:val="00952541"/>
    <w:rsid w:val="00954C95"/>
    <w:rsid w:val="00955B7A"/>
    <w:rsid w:val="00956547"/>
    <w:rsid w:val="009606B3"/>
    <w:rsid w:val="00960CB6"/>
    <w:rsid w:val="00963132"/>
    <w:rsid w:val="00965B3C"/>
    <w:rsid w:val="0096741A"/>
    <w:rsid w:val="009711FF"/>
    <w:rsid w:val="00971A56"/>
    <w:rsid w:val="009735F5"/>
    <w:rsid w:val="00973F72"/>
    <w:rsid w:val="0097424E"/>
    <w:rsid w:val="00974BEA"/>
    <w:rsid w:val="009759A0"/>
    <w:rsid w:val="0097759C"/>
    <w:rsid w:val="00977817"/>
    <w:rsid w:val="009779DB"/>
    <w:rsid w:val="00977CA6"/>
    <w:rsid w:val="00980CCD"/>
    <w:rsid w:val="0098451C"/>
    <w:rsid w:val="00984E68"/>
    <w:rsid w:val="0098546D"/>
    <w:rsid w:val="00985821"/>
    <w:rsid w:val="00986B0F"/>
    <w:rsid w:val="00986D11"/>
    <w:rsid w:val="00987B1B"/>
    <w:rsid w:val="00990757"/>
    <w:rsid w:val="00991443"/>
    <w:rsid w:val="00995CEA"/>
    <w:rsid w:val="009971D8"/>
    <w:rsid w:val="00997457"/>
    <w:rsid w:val="009974B3"/>
    <w:rsid w:val="009A047E"/>
    <w:rsid w:val="009A06D2"/>
    <w:rsid w:val="009A0873"/>
    <w:rsid w:val="009A098F"/>
    <w:rsid w:val="009A12A1"/>
    <w:rsid w:val="009A18F9"/>
    <w:rsid w:val="009A32BC"/>
    <w:rsid w:val="009A6139"/>
    <w:rsid w:val="009A700B"/>
    <w:rsid w:val="009A722D"/>
    <w:rsid w:val="009B09F8"/>
    <w:rsid w:val="009B251C"/>
    <w:rsid w:val="009B2ED1"/>
    <w:rsid w:val="009B395F"/>
    <w:rsid w:val="009B71EF"/>
    <w:rsid w:val="009B7942"/>
    <w:rsid w:val="009C4685"/>
    <w:rsid w:val="009C4D47"/>
    <w:rsid w:val="009C5AC5"/>
    <w:rsid w:val="009C63C7"/>
    <w:rsid w:val="009D044A"/>
    <w:rsid w:val="009D0A7E"/>
    <w:rsid w:val="009D1F39"/>
    <w:rsid w:val="009D4D40"/>
    <w:rsid w:val="009D5918"/>
    <w:rsid w:val="009D6158"/>
    <w:rsid w:val="009D7F50"/>
    <w:rsid w:val="009E0232"/>
    <w:rsid w:val="009E109B"/>
    <w:rsid w:val="009E3BD5"/>
    <w:rsid w:val="009E4820"/>
    <w:rsid w:val="009E4B15"/>
    <w:rsid w:val="009E556B"/>
    <w:rsid w:val="009E5E2D"/>
    <w:rsid w:val="009E6DCB"/>
    <w:rsid w:val="009E7EAD"/>
    <w:rsid w:val="009F33FA"/>
    <w:rsid w:val="009F37DF"/>
    <w:rsid w:val="009F5E0D"/>
    <w:rsid w:val="009F5EF3"/>
    <w:rsid w:val="009F7AB3"/>
    <w:rsid w:val="00A001C4"/>
    <w:rsid w:val="00A0372D"/>
    <w:rsid w:val="00A0436B"/>
    <w:rsid w:val="00A05005"/>
    <w:rsid w:val="00A06983"/>
    <w:rsid w:val="00A069BD"/>
    <w:rsid w:val="00A06C6A"/>
    <w:rsid w:val="00A122ED"/>
    <w:rsid w:val="00A12FE1"/>
    <w:rsid w:val="00A16632"/>
    <w:rsid w:val="00A16FE5"/>
    <w:rsid w:val="00A21FAF"/>
    <w:rsid w:val="00A237AE"/>
    <w:rsid w:val="00A23A4E"/>
    <w:rsid w:val="00A23C27"/>
    <w:rsid w:val="00A24403"/>
    <w:rsid w:val="00A24932"/>
    <w:rsid w:val="00A24E54"/>
    <w:rsid w:val="00A25BCA"/>
    <w:rsid w:val="00A269FA"/>
    <w:rsid w:val="00A26D0C"/>
    <w:rsid w:val="00A27FD1"/>
    <w:rsid w:val="00A31503"/>
    <w:rsid w:val="00A324B0"/>
    <w:rsid w:val="00A33C38"/>
    <w:rsid w:val="00A35959"/>
    <w:rsid w:val="00A36CBF"/>
    <w:rsid w:val="00A36F0D"/>
    <w:rsid w:val="00A40196"/>
    <w:rsid w:val="00A405AF"/>
    <w:rsid w:val="00A438D5"/>
    <w:rsid w:val="00A44638"/>
    <w:rsid w:val="00A463F5"/>
    <w:rsid w:val="00A47426"/>
    <w:rsid w:val="00A51697"/>
    <w:rsid w:val="00A51EE4"/>
    <w:rsid w:val="00A53557"/>
    <w:rsid w:val="00A54C32"/>
    <w:rsid w:val="00A55215"/>
    <w:rsid w:val="00A55FC3"/>
    <w:rsid w:val="00A5600A"/>
    <w:rsid w:val="00A573F9"/>
    <w:rsid w:val="00A57540"/>
    <w:rsid w:val="00A57C95"/>
    <w:rsid w:val="00A60934"/>
    <w:rsid w:val="00A60947"/>
    <w:rsid w:val="00A60B93"/>
    <w:rsid w:val="00A60E4C"/>
    <w:rsid w:val="00A61CC8"/>
    <w:rsid w:val="00A6293E"/>
    <w:rsid w:val="00A62E31"/>
    <w:rsid w:val="00A64473"/>
    <w:rsid w:val="00A6491F"/>
    <w:rsid w:val="00A70550"/>
    <w:rsid w:val="00A714D1"/>
    <w:rsid w:val="00A71695"/>
    <w:rsid w:val="00A726DF"/>
    <w:rsid w:val="00A73023"/>
    <w:rsid w:val="00A73929"/>
    <w:rsid w:val="00A74ECA"/>
    <w:rsid w:val="00A74FC7"/>
    <w:rsid w:val="00A75ABB"/>
    <w:rsid w:val="00A763F0"/>
    <w:rsid w:val="00A76A1C"/>
    <w:rsid w:val="00A84D70"/>
    <w:rsid w:val="00A8638B"/>
    <w:rsid w:val="00A86947"/>
    <w:rsid w:val="00A90DE2"/>
    <w:rsid w:val="00A91F2D"/>
    <w:rsid w:val="00A93798"/>
    <w:rsid w:val="00A95738"/>
    <w:rsid w:val="00A96E64"/>
    <w:rsid w:val="00A973DD"/>
    <w:rsid w:val="00A97755"/>
    <w:rsid w:val="00AA0317"/>
    <w:rsid w:val="00AA0553"/>
    <w:rsid w:val="00AA0A28"/>
    <w:rsid w:val="00AA180B"/>
    <w:rsid w:val="00AA29DC"/>
    <w:rsid w:val="00AA2A12"/>
    <w:rsid w:val="00AA7CC0"/>
    <w:rsid w:val="00AB230D"/>
    <w:rsid w:val="00AB3014"/>
    <w:rsid w:val="00AB40A0"/>
    <w:rsid w:val="00AB633B"/>
    <w:rsid w:val="00AC0F48"/>
    <w:rsid w:val="00AC1B27"/>
    <w:rsid w:val="00AC3DEA"/>
    <w:rsid w:val="00AC44F4"/>
    <w:rsid w:val="00AC5506"/>
    <w:rsid w:val="00AC58DC"/>
    <w:rsid w:val="00AC58FD"/>
    <w:rsid w:val="00AC5DEA"/>
    <w:rsid w:val="00AC5EA0"/>
    <w:rsid w:val="00AC704C"/>
    <w:rsid w:val="00AC73F8"/>
    <w:rsid w:val="00AD0F57"/>
    <w:rsid w:val="00AD1442"/>
    <w:rsid w:val="00AD14D0"/>
    <w:rsid w:val="00AD223C"/>
    <w:rsid w:val="00AD2CEB"/>
    <w:rsid w:val="00AD30AD"/>
    <w:rsid w:val="00AD39CE"/>
    <w:rsid w:val="00AD3DF3"/>
    <w:rsid w:val="00AD4810"/>
    <w:rsid w:val="00AD57F3"/>
    <w:rsid w:val="00AD68FD"/>
    <w:rsid w:val="00AD787E"/>
    <w:rsid w:val="00AE2E18"/>
    <w:rsid w:val="00AE4D46"/>
    <w:rsid w:val="00AE6666"/>
    <w:rsid w:val="00AE6CB0"/>
    <w:rsid w:val="00AE72CB"/>
    <w:rsid w:val="00AE7D61"/>
    <w:rsid w:val="00AF02A4"/>
    <w:rsid w:val="00AF02EC"/>
    <w:rsid w:val="00AF41D5"/>
    <w:rsid w:val="00AF47D8"/>
    <w:rsid w:val="00AF5D15"/>
    <w:rsid w:val="00B00CFF"/>
    <w:rsid w:val="00B00D07"/>
    <w:rsid w:val="00B01622"/>
    <w:rsid w:val="00B01C70"/>
    <w:rsid w:val="00B02079"/>
    <w:rsid w:val="00B04536"/>
    <w:rsid w:val="00B04F22"/>
    <w:rsid w:val="00B058F9"/>
    <w:rsid w:val="00B07818"/>
    <w:rsid w:val="00B11C4C"/>
    <w:rsid w:val="00B21D69"/>
    <w:rsid w:val="00B23C7A"/>
    <w:rsid w:val="00B244AE"/>
    <w:rsid w:val="00B24694"/>
    <w:rsid w:val="00B24D41"/>
    <w:rsid w:val="00B25195"/>
    <w:rsid w:val="00B26A7D"/>
    <w:rsid w:val="00B26B33"/>
    <w:rsid w:val="00B27D05"/>
    <w:rsid w:val="00B30930"/>
    <w:rsid w:val="00B3151B"/>
    <w:rsid w:val="00B33676"/>
    <w:rsid w:val="00B3492B"/>
    <w:rsid w:val="00B34EBE"/>
    <w:rsid w:val="00B35FF7"/>
    <w:rsid w:val="00B3668B"/>
    <w:rsid w:val="00B37B1D"/>
    <w:rsid w:val="00B409D2"/>
    <w:rsid w:val="00B42875"/>
    <w:rsid w:val="00B43183"/>
    <w:rsid w:val="00B43561"/>
    <w:rsid w:val="00B43968"/>
    <w:rsid w:val="00B447A9"/>
    <w:rsid w:val="00B449E5"/>
    <w:rsid w:val="00B45BB0"/>
    <w:rsid w:val="00B45CD0"/>
    <w:rsid w:val="00B4635E"/>
    <w:rsid w:val="00B46B1C"/>
    <w:rsid w:val="00B475C3"/>
    <w:rsid w:val="00B5052B"/>
    <w:rsid w:val="00B50EA0"/>
    <w:rsid w:val="00B5322A"/>
    <w:rsid w:val="00B54286"/>
    <w:rsid w:val="00B5479F"/>
    <w:rsid w:val="00B548F2"/>
    <w:rsid w:val="00B5569C"/>
    <w:rsid w:val="00B57861"/>
    <w:rsid w:val="00B57FF6"/>
    <w:rsid w:val="00B60446"/>
    <w:rsid w:val="00B6218A"/>
    <w:rsid w:val="00B62557"/>
    <w:rsid w:val="00B6707C"/>
    <w:rsid w:val="00B673C7"/>
    <w:rsid w:val="00B67A1F"/>
    <w:rsid w:val="00B717FE"/>
    <w:rsid w:val="00B724E0"/>
    <w:rsid w:val="00B724EB"/>
    <w:rsid w:val="00B743A5"/>
    <w:rsid w:val="00B75071"/>
    <w:rsid w:val="00B800B3"/>
    <w:rsid w:val="00B80C19"/>
    <w:rsid w:val="00B80CA2"/>
    <w:rsid w:val="00B81E48"/>
    <w:rsid w:val="00B8217F"/>
    <w:rsid w:val="00B82A52"/>
    <w:rsid w:val="00B846E9"/>
    <w:rsid w:val="00B84975"/>
    <w:rsid w:val="00B85147"/>
    <w:rsid w:val="00B854A3"/>
    <w:rsid w:val="00B87929"/>
    <w:rsid w:val="00B87976"/>
    <w:rsid w:val="00B903AD"/>
    <w:rsid w:val="00B9052E"/>
    <w:rsid w:val="00B9116C"/>
    <w:rsid w:val="00B91C67"/>
    <w:rsid w:val="00B95F65"/>
    <w:rsid w:val="00B96F48"/>
    <w:rsid w:val="00B974C0"/>
    <w:rsid w:val="00BA0452"/>
    <w:rsid w:val="00BA0FDA"/>
    <w:rsid w:val="00BA2067"/>
    <w:rsid w:val="00BA269B"/>
    <w:rsid w:val="00BA2D95"/>
    <w:rsid w:val="00BA314A"/>
    <w:rsid w:val="00BA41D2"/>
    <w:rsid w:val="00BA50BA"/>
    <w:rsid w:val="00BA68D0"/>
    <w:rsid w:val="00BA76B6"/>
    <w:rsid w:val="00BB0582"/>
    <w:rsid w:val="00BB20A9"/>
    <w:rsid w:val="00BB529F"/>
    <w:rsid w:val="00BB5547"/>
    <w:rsid w:val="00BB7543"/>
    <w:rsid w:val="00BC1A1D"/>
    <w:rsid w:val="00BC2A86"/>
    <w:rsid w:val="00BC3B2E"/>
    <w:rsid w:val="00BC58B3"/>
    <w:rsid w:val="00BC6EA3"/>
    <w:rsid w:val="00BC77CB"/>
    <w:rsid w:val="00BC7868"/>
    <w:rsid w:val="00BD09DF"/>
    <w:rsid w:val="00BD1597"/>
    <w:rsid w:val="00BD187A"/>
    <w:rsid w:val="00BD32D0"/>
    <w:rsid w:val="00BD42F5"/>
    <w:rsid w:val="00BD4A89"/>
    <w:rsid w:val="00BD6DF7"/>
    <w:rsid w:val="00BE0AAB"/>
    <w:rsid w:val="00BE42F1"/>
    <w:rsid w:val="00BE53AC"/>
    <w:rsid w:val="00BE6D9C"/>
    <w:rsid w:val="00BE7186"/>
    <w:rsid w:val="00BF001E"/>
    <w:rsid w:val="00BF0D7C"/>
    <w:rsid w:val="00BF1F90"/>
    <w:rsid w:val="00BF2789"/>
    <w:rsid w:val="00BF4C1C"/>
    <w:rsid w:val="00BF5761"/>
    <w:rsid w:val="00BF5FD0"/>
    <w:rsid w:val="00BF615B"/>
    <w:rsid w:val="00C002DA"/>
    <w:rsid w:val="00C028BB"/>
    <w:rsid w:val="00C029E7"/>
    <w:rsid w:val="00C02A8D"/>
    <w:rsid w:val="00C033F5"/>
    <w:rsid w:val="00C042CB"/>
    <w:rsid w:val="00C04834"/>
    <w:rsid w:val="00C05097"/>
    <w:rsid w:val="00C111AA"/>
    <w:rsid w:val="00C11746"/>
    <w:rsid w:val="00C12597"/>
    <w:rsid w:val="00C1369D"/>
    <w:rsid w:val="00C14849"/>
    <w:rsid w:val="00C151A7"/>
    <w:rsid w:val="00C15439"/>
    <w:rsid w:val="00C1609E"/>
    <w:rsid w:val="00C212D6"/>
    <w:rsid w:val="00C21841"/>
    <w:rsid w:val="00C242A0"/>
    <w:rsid w:val="00C24856"/>
    <w:rsid w:val="00C24B06"/>
    <w:rsid w:val="00C300A0"/>
    <w:rsid w:val="00C340C8"/>
    <w:rsid w:val="00C3470A"/>
    <w:rsid w:val="00C34FB1"/>
    <w:rsid w:val="00C357BB"/>
    <w:rsid w:val="00C35D14"/>
    <w:rsid w:val="00C3680F"/>
    <w:rsid w:val="00C37836"/>
    <w:rsid w:val="00C37901"/>
    <w:rsid w:val="00C37F32"/>
    <w:rsid w:val="00C40C3C"/>
    <w:rsid w:val="00C43DB2"/>
    <w:rsid w:val="00C43FE9"/>
    <w:rsid w:val="00C50DEB"/>
    <w:rsid w:val="00C5397A"/>
    <w:rsid w:val="00C554F9"/>
    <w:rsid w:val="00C56BC6"/>
    <w:rsid w:val="00C56FDC"/>
    <w:rsid w:val="00C57DC9"/>
    <w:rsid w:val="00C60134"/>
    <w:rsid w:val="00C6068B"/>
    <w:rsid w:val="00C6206E"/>
    <w:rsid w:val="00C6230E"/>
    <w:rsid w:val="00C624D6"/>
    <w:rsid w:val="00C6332A"/>
    <w:rsid w:val="00C63FCD"/>
    <w:rsid w:val="00C63FD8"/>
    <w:rsid w:val="00C649F5"/>
    <w:rsid w:val="00C70670"/>
    <w:rsid w:val="00C72C6A"/>
    <w:rsid w:val="00C73D8E"/>
    <w:rsid w:val="00C74921"/>
    <w:rsid w:val="00C74CF0"/>
    <w:rsid w:val="00C756F6"/>
    <w:rsid w:val="00C75A25"/>
    <w:rsid w:val="00C766FC"/>
    <w:rsid w:val="00C775AD"/>
    <w:rsid w:val="00C77C04"/>
    <w:rsid w:val="00C82E22"/>
    <w:rsid w:val="00C834D7"/>
    <w:rsid w:val="00C8378E"/>
    <w:rsid w:val="00C84FBB"/>
    <w:rsid w:val="00C85D01"/>
    <w:rsid w:val="00C9059E"/>
    <w:rsid w:val="00C927CE"/>
    <w:rsid w:val="00C95935"/>
    <w:rsid w:val="00C96612"/>
    <w:rsid w:val="00C968E0"/>
    <w:rsid w:val="00C96C78"/>
    <w:rsid w:val="00CA0962"/>
    <w:rsid w:val="00CA3EF1"/>
    <w:rsid w:val="00CA4B04"/>
    <w:rsid w:val="00CA566F"/>
    <w:rsid w:val="00CA6E21"/>
    <w:rsid w:val="00CA7C95"/>
    <w:rsid w:val="00CB06B5"/>
    <w:rsid w:val="00CB2938"/>
    <w:rsid w:val="00CB2F6B"/>
    <w:rsid w:val="00CB2FBC"/>
    <w:rsid w:val="00CB3CEC"/>
    <w:rsid w:val="00CB5269"/>
    <w:rsid w:val="00CB537D"/>
    <w:rsid w:val="00CB5DBE"/>
    <w:rsid w:val="00CB6199"/>
    <w:rsid w:val="00CB6210"/>
    <w:rsid w:val="00CB776D"/>
    <w:rsid w:val="00CC0252"/>
    <w:rsid w:val="00CC1061"/>
    <w:rsid w:val="00CC186F"/>
    <w:rsid w:val="00CC383F"/>
    <w:rsid w:val="00CC6508"/>
    <w:rsid w:val="00CC6EFC"/>
    <w:rsid w:val="00CC7CF6"/>
    <w:rsid w:val="00CD1103"/>
    <w:rsid w:val="00CD2A7B"/>
    <w:rsid w:val="00CD421A"/>
    <w:rsid w:val="00CD5C0D"/>
    <w:rsid w:val="00CD72AB"/>
    <w:rsid w:val="00CE1608"/>
    <w:rsid w:val="00CE16ED"/>
    <w:rsid w:val="00CE1C00"/>
    <w:rsid w:val="00CE3139"/>
    <w:rsid w:val="00CE7CF6"/>
    <w:rsid w:val="00CF059A"/>
    <w:rsid w:val="00CF1458"/>
    <w:rsid w:val="00CF1F84"/>
    <w:rsid w:val="00CF2EB4"/>
    <w:rsid w:val="00D03DDE"/>
    <w:rsid w:val="00D075AD"/>
    <w:rsid w:val="00D077BD"/>
    <w:rsid w:val="00D07B8E"/>
    <w:rsid w:val="00D1060E"/>
    <w:rsid w:val="00D1063F"/>
    <w:rsid w:val="00D1160E"/>
    <w:rsid w:val="00D14B59"/>
    <w:rsid w:val="00D14C09"/>
    <w:rsid w:val="00D15466"/>
    <w:rsid w:val="00D2066A"/>
    <w:rsid w:val="00D20823"/>
    <w:rsid w:val="00D20D16"/>
    <w:rsid w:val="00D24A0F"/>
    <w:rsid w:val="00D24B99"/>
    <w:rsid w:val="00D24E0F"/>
    <w:rsid w:val="00D24EE0"/>
    <w:rsid w:val="00D24FA7"/>
    <w:rsid w:val="00D25753"/>
    <w:rsid w:val="00D31779"/>
    <w:rsid w:val="00D32BE5"/>
    <w:rsid w:val="00D33D50"/>
    <w:rsid w:val="00D3527F"/>
    <w:rsid w:val="00D3593A"/>
    <w:rsid w:val="00D3654B"/>
    <w:rsid w:val="00D408FC"/>
    <w:rsid w:val="00D42385"/>
    <w:rsid w:val="00D45C02"/>
    <w:rsid w:val="00D472D8"/>
    <w:rsid w:val="00D50396"/>
    <w:rsid w:val="00D51DFD"/>
    <w:rsid w:val="00D53366"/>
    <w:rsid w:val="00D5436D"/>
    <w:rsid w:val="00D556F4"/>
    <w:rsid w:val="00D557EE"/>
    <w:rsid w:val="00D5638B"/>
    <w:rsid w:val="00D565C0"/>
    <w:rsid w:val="00D574B2"/>
    <w:rsid w:val="00D61ADE"/>
    <w:rsid w:val="00D636B4"/>
    <w:rsid w:val="00D63A42"/>
    <w:rsid w:val="00D63A92"/>
    <w:rsid w:val="00D64F2E"/>
    <w:rsid w:val="00D70369"/>
    <w:rsid w:val="00D70770"/>
    <w:rsid w:val="00D70BDC"/>
    <w:rsid w:val="00D73875"/>
    <w:rsid w:val="00D74667"/>
    <w:rsid w:val="00D76611"/>
    <w:rsid w:val="00D77544"/>
    <w:rsid w:val="00D77D4F"/>
    <w:rsid w:val="00D77F75"/>
    <w:rsid w:val="00D81770"/>
    <w:rsid w:val="00D826FA"/>
    <w:rsid w:val="00D844D5"/>
    <w:rsid w:val="00D856DA"/>
    <w:rsid w:val="00D878D9"/>
    <w:rsid w:val="00D87989"/>
    <w:rsid w:val="00D90005"/>
    <w:rsid w:val="00D91654"/>
    <w:rsid w:val="00D928D7"/>
    <w:rsid w:val="00D935F4"/>
    <w:rsid w:val="00D93766"/>
    <w:rsid w:val="00D97028"/>
    <w:rsid w:val="00DA01C7"/>
    <w:rsid w:val="00DA070A"/>
    <w:rsid w:val="00DA1419"/>
    <w:rsid w:val="00DA19AA"/>
    <w:rsid w:val="00DA28BC"/>
    <w:rsid w:val="00DA4F66"/>
    <w:rsid w:val="00DA7856"/>
    <w:rsid w:val="00DA7BAE"/>
    <w:rsid w:val="00DA7D2A"/>
    <w:rsid w:val="00DB15CE"/>
    <w:rsid w:val="00DB358A"/>
    <w:rsid w:val="00DB6659"/>
    <w:rsid w:val="00DB7096"/>
    <w:rsid w:val="00DC1221"/>
    <w:rsid w:val="00DC1E8B"/>
    <w:rsid w:val="00DC267E"/>
    <w:rsid w:val="00DC2C5E"/>
    <w:rsid w:val="00DC5F2E"/>
    <w:rsid w:val="00DD2184"/>
    <w:rsid w:val="00DD35C0"/>
    <w:rsid w:val="00DD3613"/>
    <w:rsid w:val="00DD6681"/>
    <w:rsid w:val="00DD6EAD"/>
    <w:rsid w:val="00DD72C5"/>
    <w:rsid w:val="00DD7F83"/>
    <w:rsid w:val="00DE3312"/>
    <w:rsid w:val="00DE4661"/>
    <w:rsid w:val="00DE4E0C"/>
    <w:rsid w:val="00DE4F4E"/>
    <w:rsid w:val="00DE501F"/>
    <w:rsid w:val="00DE5D39"/>
    <w:rsid w:val="00DE7038"/>
    <w:rsid w:val="00DF0942"/>
    <w:rsid w:val="00DF10AC"/>
    <w:rsid w:val="00DF2E80"/>
    <w:rsid w:val="00DF2F94"/>
    <w:rsid w:val="00DF38C3"/>
    <w:rsid w:val="00DF3D4D"/>
    <w:rsid w:val="00DF4DC1"/>
    <w:rsid w:val="00DF5065"/>
    <w:rsid w:val="00DF5351"/>
    <w:rsid w:val="00DF5EF7"/>
    <w:rsid w:val="00DF79D7"/>
    <w:rsid w:val="00E0104F"/>
    <w:rsid w:val="00E01799"/>
    <w:rsid w:val="00E03FD3"/>
    <w:rsid w:val="00E0429B"/>
    <w:rsid w:val="00E04812"/>
    <w:rsid w:val="00E04F1A"/>
    <w:rsid w:val="00E05B63"/>
    <w:rsid w:val="00E062FA"/>
    <w:rsid w:val="00E0639B"/>
    <w:rsid w:val="00E10115"/>
    <w:rsid w:val="00E11299"/>
    <w:rsid w:val="00E13A56"/>
    <w:rsid w:val="00E13FAC"/>
    <w:rsid w:val="00E142A0"/>
    <w:rsid w:val="00E155EF"/>
    <w:rsid w:val="00E15731"/>
    <w:rsid w:val="00E166C1"/>
    <w:rsid w:val="00E16ADA"/>
    <w:rsid w:val="00E16CEB"/>
    <w:rsid w:val="00E17EE0"/>
    <w:rsid w:val="00E21BBD"/>
    <w:rsid w:val="00E22186"/>
    <w:rsid w:val="00E24971"/>
    <w:rsid w:val="00E24CD9"/>
    <w:rsid w:val="00E25331"/>
    <w:rsid w:val="00E26333"/>
    <w:rsid w:val="00E26456"/>
    <w:rsid w:val="00E27FD1"/>
    <w:rsid w:val="00E309C5"/>
    <w:rsid w:val="00E30A22"/>
    <w:rsid w:val="00E35D11"/>
    <w:rsid w:val="00E37E48"/>
    <w:rsid w:val="00E40920"/>
    <w:rsid w:val="00E44F79"/>
    <w:rsid w:val="00E459C5"/>
    <w:rsid w:val="00E46624"/>
    <w:rsid w:val="00E47B05"/>
    <w:rsid w:val="00E507C9"/>
    <w:rsid w:val="00E50E71"/>
    <w:rsid w:val="00E51139"/>
    <w:rsid w:val="00E5176F"/>
    <w:rsid w:val="00E54398"/>
    <w:rsid w:val="00E547D6"/>
    <w:rsid w:val="00E55436"/>
    <w:rsid w:val="00E57138"/>
    <w:rsid w:val="00E629C9"/>
    <w:rsid w:val="00E659E2"/>
    <w:rsid w:val="00E73367"/>
    <w:rsid w:val="00E73882"/>
    <w:rsid w:val="00E73ED9"/>
    <w:rsid w:val="00E74A22"/>
    <w:rsid w:val="00E74A28"/>
    <w:rsid w:val="00E74C27"/>
    <w:rsid w:val="00E75508"/>
    <w:rsid w:val="00E75DD9"/>
    <w:rsid w:val="00E77E91"/>
    <w:rsid w:val="00E8003B"/>
    <w:rsid w:val="00E80ADF"/>
    <w:rsid w:val="00E81011"/>
    <w:rsid w:val="00E81DA0"/>
    <w:rsid w:val="00E82BB2"/>
    <w:rsid w:val="00E84335"/>
    <w:rsid w:val="00E84C46"/>
    <w:rsid w:val="00E86327"/>
    <w:rsid w:val="00E87049"/>
    <w:rsid w:val="00E90C67"/>
    <w:rsid w:val="00E91464"/>
    <w:rsid w:val="00E91683"/>
    <w:rsid w:val="00E9197A"/>
    <w:rsid w:val="00E957B9"/>
    <w:rsid w:val="00E95BA7"/>
    <w:rsid w:val="00E970C5"/>
    <w:rsid w:val="00E971FA"/>
    <w:rsid w:val="00EA065F"/>
    <w:rsid w:val="00EA0A52"/>
    <w:rsid w:val="00EA19E6"/>
    <w:rsid w:val="00EA1FD1"/>
    <w:rsid w:val="00EA2074"/>
    <w:rsid w:val="00EA58C3"/>
    <w:rsid w:val="00EA6A04"/>
    <w:rsid w:val="00EA6A2B"/>
    <w:rsid w:val="00EA76D5"/>
    <w:rsid w:val="00EA7E9F"/>
    <w:rsid w:val="00EB05E1"/>
    <w:rsid w:val="00EB0B52"/>
    <w:rsid w:val="00EB1578"/>
    <w:rsid w:val="00EB189E"/>
    <w:rsid w:val="00EB28F2"/>
    <w:rsid w:val="00EB2A13"/>
    <w:rsid w:val="00EB2C8D"/>
    <w:rsid w:val="00EB3670"/>
    <w:rsid w:val="00EB3A8A"/>
    <w:rsid w:val="00EB54DD"/>
    <w:rsid w:val="00EB7415"/>
    <w:rsid w:val="00EC3C1E"/>
    <w:rsid w:val="00EC5A2F"/>
    <w:rsid w:val="00ED1291"/>
    <w:rsid w:val="00ED30D9"/>
    <w:rsid w:val="00ED3C6E"/>
    <w:rsid w:val="00ED64F8"/>
    <w:rsid w:val="00ED6EB4"/>
    <w:rsid w:val="00ED6F5E"/>
    <w:rsid w:val="00ED73A8"/>
    <w:rsid w:val="00ED740E"/>
    <w:rsid w:val="00EE04C5"/>
    <w:rsid w:val="00EE0A43"/>
    <w:rsid w:val="00EE1D58"/>
    <w:rsid w:val="00EE471F"/>
    <w:rsid w:val="00EE5069"/>
    <w:rsid w:val="00EE6405"/>
    <w:rsid w:val="00EE735B"/>
    <w:rsid w:val="00EE7C8B"/>
    <w:rsid w:val="00EE7F8D"/>
    <w:rsid w:val="00EF160F"/>
    <w:rsid w:val="00EF199B"/>
    <w:rsid w:val="00EF3408"/>
    <w:rsid w:val="00EF3637"/>
    <w:rsid w:val="00EF38AC"/>
    <w:rsid w:val="00EF5199"/>
    <w:rsid w:val="00EF5A5E"/>
    <w:rsid w:val="00F02054"/>
    <w:rsid w:val="00F022D6"/>
    <w:rsid w:val="00F0505D"/>
    <w:rsid w:val="00F05F84"/>
    <w:rsid w:val="00F05F9E"/>
    <w:rsid w:val="00F05FE7"/>
    <w:rsid w:val="00F06C6B"/>
    <w:rsid w:val="00F11C16"/>
    <w:rsid w:val="00F124D6"/>
    <w:rsid w:val="00F12B3C"/>
    <w:rsid w:val="00F1377F"/>
    <w:rsid w:val="00F139FE"/>
    <w:rsid w:val="00F13E52"/>
    <w:rsid w:val="00F15009"/>
    <w:rsid w:val="00F15C94"/>
    <w:rsid w:val="00F1659A"/>
    <w:rsid w:val="00F2024A"/>
    <w:rsid w:val="00F20B85"/>
    <w:rsid w:val="00F20BAF"/>
    <w:rsid w:val="00F21209"/>
    <w:rsid w:val="00F216A8"/>
    <w:rsid w:val="00F21958"/>
    <w:rsid w:val="00F229FC"/>
    <w:rsid w:val="00F23117"/>
    <w:rsid w:val="00F23713"/>
    <w:rsid w:val="00F25149"/>
    <w:rsid w:val="00F25444"/>
    <w:rsid w:val="00F266C1"/>
    <w:rsid w:val="00F3133B"/>
    <w:rsid w:val="00F3198F"/>
    <w:rsid w:val="00F33679"/>
    <w:rsid w:val="00F35283"/>
    <w:rsid w:val="00F352C2"/>
    <w:rsid w:val="00F37880"/>
    <w:rsid w:val="00F4447C"/>
    <w:rsid w:val="00F460FD"/>
    <w:rsid w:val="00F46463"/>
    <w:rsid w:val="00F469B6"/>
    <w:rsid w:val="00F509F1"/>
    <w:rsid w:val="00F5172A"/>
    <w:rsid w:val="00F51E18"/>
    <w:rsid w:val="00F52F34"/>
    <w:rsid w:val="00F547A2"/>
    <w:rsid w:val="00F55003"/>
    <w:rsid w:val="00F5510D"/>
    <w:rsid w:val="00F57EE9"/>
    <w:rsid w:val="00F609C2"/>
    <w:rsid w:val="00F60F0F"/>
    <w:rsid w:val="00F62937"/>
    <w:rsid w:val="00F63F53"/>
    <w:rsid w:val="00F64769"/>
    <w:rsid w:val="00F6480D"/>
    <w:rsid w:val="00F654E9"/>
    <w:rsid w:val="00F65B8D"/>
    <w:rsid w:val="00F66740"/>
    <w:rsid w:val="00F71A5B"/>
    <w:rsid w:val="00F71AD7"/>
    <w:rsid w:val="00F73F8D"/>
    <w:rsid w:val="00F75876"/>
    <w:rsid w:val="00F75F83"/>
    <w:rsid w:val="00F765BE"/>
    <w:rsid w:val="00F76665"/>
    <w:rsid w:val="00F76F50"/>
    <w:rsid w:val="00F7796B"/>
    <w:rsid w:val="00F80D85"/>
    <w:rsid w:val="00F81211"/>
    <w:rsid w:val="00F814A4"/>
    <w:rsid w:val="00F82247"/>
    <w:rsid w:val="00F82F53"/>
    <w:rsid w:val="00F86E8C"/>
    <w:rsid w:val="00F9012B"/>
    <w:rsid w:val="00F914AA"/>
    <w:rsid w:val="00F916D3"/>
    <w:rsid w:val="00F92418"/>
    <w:rsid w:val="00F925F2"/>
    <w:rsid w:val="00F93DB6"/>
    <w:rsid w:val="00F93FA3"/>
    <w:rsid w:val="00F95950"/>
    <w:rsid w:val="00F9775B"/>
    <w:rsid w:val="00FA2793"/>
    <w:rsid w:val="00FA49D4"/>
    <w:rsid w:val="00FA55E9"/>
    <w:rsid w:val="00FA643F"/>
    <w:rsid w:val="00FA68C1"/>
    <w:rsid w:val="00FA6D77"/>
    <w:rsid w:val="00FA6EF7"/>
    <w:rsid w:val="00FA753C"/>
    <w:rsid w:val="00FA75FB"/>
    <w:rsid w:val="00FB00A7"/>
    <w:rsid w:val="00FB07DF"/>
    <w:rsid w:val="00FB14C6"/>
    <w:rsid w:val="00FB26C4"/>
    <w:rsid w:val="00FB26FB"/>
    <w:rsid w:val="00FB47A0"/>
    <w:rsid w:val="00FB6FDD"/>
    <w:rsid w:val="00FB7C8D"/>
    <w:rsid w:val="00FC045D"/>
    <w:rsid w:val="00FC0F7C"/>
    <w:rsid w:val="00FC2DF0"/>
    <w:rsid w:val="00FC3644"/>
    <w:rsid w:val="00FC6227"/>
    <w:rsid w:val="00FD171F"/>
    <w:rsid w:val="00FD1A7A"/>
    <w:rsid w:val="00FD1A80"/>
    <w:rsid w:val="00FD23C5"/>
    <w:rsid w:val="00FD2993"/>
    <w:rsid w:val="00FD590F"/>
    <w:rsid w:val="00FD5CEA"/>
    <w:rsid w:val="00FD60E7"/>
    <w:rsid w:val="00FE2C9F"/>
    <w:rsid w:val="00FE351F"/>
    <w:rsid w:val="00FE7BBB"/>
    <w:rsid w:val="00FE7E82"/>
    <w:rsid w:val="00FF046C"/>
    <w:rsid w:val="00FF0EC6"/>
    <w:rsid w:val="00FF22E9"/>
    <w:rsid w:val="00FF3043"/>
    <w:rsid w:val="00FF5D88"/>
    <w:rsid w:val="00FF6B6C"/>
    <w:rsid w:val="00FF76AB"/>
    <w:rsid w:val="00FF7C95"/>
    <w:rsid w:val="019C7DF9"/>
    <w:rsid w:val="01AF35D1"/>
    <w:rsid w:val="038D2B62"/>
    <w:rsid w:val="04525D16"/>
    <w:rsid w:val="04716658"/>
    <w:rsid w:val="068E0F51"/>
    <w:rsid w:val="08161CD1"/>
    <w:rsid w:val="084C43AA"/>
    <w:rsid w:val="08BD2550"/>
    <w:rsid w:val="0C7674D4"/>
    <w:rsid w:val="0DC444A6"/>
    <w:rsid w:val="0E3F53D5"/>
    <w:rsid w:val="0E920377"/>
    <w:rsid w:val="11901168"/>
    <w:rsid w:val="11CB0ABE"/>
    <w:rsid w:val="12E54A8E"/>
    <w:rsid w:val="144C4B4E"/>
    <w:rsid w:val="14E929F2"/>
    <w:rsid w:val="15651E9C"/>
    <w:rsid w:val="17377B99"/>
    <w:rsid w:val="17BE5FE3"/>
    <w:rsid w:val="17CF47AA"/>
    <w:rsid w:val="17D15DB9"/>
    <w:rsid w:val="19CF3767"/>
    <w:rsid w:val="1BC2741A"/>
    <w:rsid w:val="1D3E4388"/>
    <w:rsid w:val="1EF075D2"/>
    <w:rsid w:val="1FD9396F"/>
    <w:rsid w:val="20E33285"/>
    <w:rsid w:val="2494490F"/>
    <w:rsid w:val="2A583806"/>
    <w:rsid w:val="2AF93C02"/>
    <w:rsid w:val="2FB01D49"/>
    <w:rsid w:val="327A7C45"/>
    <w:rsid w:val="35087A27"/>
    <w:rsid w:val="35E87C5A"/>
    <w:rsid w:val="3755784D"/>
    <w:rsid w:val="37964694"/>
    <w:rsid w:val="38B35F7D"/>
    <w:rsid w:val="3BA548E8"/>
    <w:rsid w:val="3F4A7F61"/>
    <w:rsid w:val="412874F2"/>
    <w:rsid w:val="417C24DD"/>
    <w:rsid w:val="422B69DC"/>
    <w:rsid w:val="43B37EA1"/>
    <w:rsid w:val="43F67691"/>
    <w:rsid w:val="440A08B0"/>
    <w:rsid w:val="47820333"/>
    <w:rsid w:val="47B90AFC"/>
    <w:rsid w:val="49202B06"/>
    <w:rsid w:val="4BB61845"/>
    <w:rsid w:val="4C2E4987"/>
    <w:rsid w:val="4E92524D"/>
    <w:rsid w:val="4E933503"/>
    <w:rsid w:val="53BF2190"/>
    <w:rsid w:val="5609656C"/>
    <w:rsid w:val="57DA7075"/>
    <w:rsid w:val="59522196"/>
    <w:rsid w:val="5970312B"/>
    <w:rsid w:val="607F4601"/>
    <w:rsid w:val="61092532"/>
    <w:rsid w:val="63284D3B"/>
    <w:rsid w:val="633330CC"/>
    <w:rsid w:val="695732E1"/>
    <w:rsid w:val="6AAB7660"/>
    <w:rsid w:val="6BE11403"/>
    <w:rsid w:val="6CD844FC"/>
    <w:rsid w:val="70ED2DDC"/>
    <w:rsid w:val="7105557C"/>
    <w:rsid w:val="71614E51"/>
    <w:rsid w:val="718C7330"/>
    <w:rsid w:val="737B5F85"/>
    <w:rsid w:val="77A26354"/>
    <w:rsid w:val="7810295C"/>
    <w:rsid w:val="78711EA5"/>
    <w:rsid w:val="79A10018"/>
    <w:rsid w:val="7A905722"/>
    <w:rsid w:val="7BC12985"/>
    <w:rsid w:val="7C63309F"/>
    <w:rsid w:val="7C7C0EB4"/>
    <w:rsid w:val="7CE50175"/>
    <w:rsid w:val="7EB85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iPriority="0" w:semiHidden="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line="360" w:lineRule="auto"/>
      <w:outlineLvl w:val="0"/>
    </w:pPr>
    <w:rPr>
      <w:b/>
      <w:bCs/>
      <w:kern w:val="44"/>
      <w:sz w:val="44"/>
      <w:szCs w:val="44"/>
    </w:rPr>
  </w:style>
  <w:style w:type="paragraph" w:styleId="3">
    <w:name w:val="heading 2"/>
    <w:basedOn w:val="1"/>
    <w:next w:val="1"/>
    <w:link w:val="34"/>
    <w:qFormat/>
    <w:uiPriority w:val="0"/>
    <w:pPr>
      <w:keepNext/>
      <w:keepLines/>
      <w:spacing w:before="260" w:after="260" w:line="416" w:lineRule="auto"/>
      <w:outlineLvl w:val="1"/>
    </w:pPr>
    <w:rPr>
      <w:rFonts w:ascii="Cambria" w:hAnsi="Cambria"/>
      <w:b/>
      <w:bCs/>
      <w:sz w:val="32"/>
      <w:szCs w:val="32"/>
    </w:rPr>
  </w:style>
  <w:style w:type="character" w:default="1" w:styleId="18">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4">
    <w:name w:val="caption"/>
    <w:basedOn w:val="1"/>
    <w:next w:val="1"/>
    <w:unhideWhenUsed/>
    <w:qFormat/>
    <w:uiPriority w:val="0"/>
    <w:rPr>
      <w:rFonts w:eastAsia="黑体" w:asciiTheme="majorHAnsi" w:hAnsiTheme="majorHAnsi" w:cstheme="majorBidi"/>
      <w:sz w:val="20"/>
      <w:szCs w:val="20"/>
    </w:rPr>
  </w:style>
  <w:style w:type="paragraph" w:styleId="5">
    <w:name w:val="Document Map"/>
    <w:basedOn w:val="1"/>
    <w:link w:val="39"/>
    <w:qFormat/>
    <w:uiPriority w:val="0"/>
    <w:rPr>
      <w:rFonts w:ascii="宋体"/>
      <w:sz w:val="18"/>
      <w:szCs w:val="18"/>
    </w:rPr>
  </w:style>
  <w:style w:type="paragraph" w:styleId="6">
    <w:name w:val="Body Text"/>
    <w:basedOn w:val="1"/>
    <w:link w:val="40"/>
    <w:unhideWhenUsed/>
    <w:qFormat/>
    <w:uiPriority w:val="0"/>
    <w:pPr>
      <w:spacing w:after="120"/>
    </w:pPr>
  </w:style>
  <w:style w:type="paragraph" w:styleId="7">
    <w:name w:val="Body Text Indent"/>
    <w:basedOn w:val="1"/>
    <w:qFormat/>
    <w:uiPriority w:val="0"/>
    <w:pPr>
      <w:spacing w:line="240" w:lineRule="atLeast"/>
      <w:ind w:firstLine="560" w:firstLineChars="200"/>
    </w:pPr>
    <w:rPr>
      <w:sz w:val="28"/>
    </w:rPr>
  </w:style>
  <w:style w:type="paragraph" w:styleId="8">
    <w:name w:val="toc 5"/>
    <w:basedOn w:val="1"/>
    <w:next w:val="1"/>
    <w:qFormat/>
    <w:uiPriority w:val="39"/>
    <w:pPr>
      <w:ind w:left="1680" w:leftChars="800"/>
    </w:pPr>
  </w:style>
  <w:style w:type="paragraph" w:styleId="9">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0">
    <w:name w:val="Date"/>
    <w:basedOn w:val="1"/>
    <w:next w:val="1"/>
    <w:qFormat/>
    <w:uiPriority w:val="0"/>
    <w:pPr>
      <w:ind w:left="100" w:leftChars="2500"/>
    </w:pPr>
  </w:style>
  <w:style w:type="paragraph" w:styleId="11">
    <w:name w:val="Balloon Text"/>
    <w:basedOn w:val="1"/>
    <w:link w:val="38"/>
    <w:qFormat/>
    <w:uiPriority w:val="0"/>
    <w:rPr>
      <w:sz w:val="18"/>
      <w:szCs w:val="18"/>
    </w:rPr>
  </w:style>
  <w:style w:type="paragraph" w:styleId="12">
    <w:name w:val="footer"/>
    <w:basedOn w:val="1"/>
    <w:link w:val="35"/>
    <w:qFormat/>
    <w:uiPriority w:val="99"/>
    <w:pPr>
      <w:tabs>
        <w:tab w:val="center" w:pos="4153"/>
        <w:tab w:val="right" w:pos="8306"/>
      </w:tabs>
      <w:snapToGrid w:val="0"/>
      <w:jc w:val="left"/>
    </w:pPr>
    <w:rPr>
      <w:sz w:val="18"/>
      <w:szCs w:val="18"/>
    </w:rPr>
  </w:style>
  <w:style w:type="paragraph" w:styleId="13">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left" w:pos="540"/>
        <w:tab w:val="right" w:leader="dot" w:pos="8296"/>
      </w:tabs>
      <w:spacing w:after="100" w:line="276" w:lineRule="auto"/>
      <w:jc w:val="left"/>
    </w:pPr>
    <w:rPr>
      <w:b/>
      <w:kern w:val="0"/>
      <w:sz w:val="24"/>
    </w:rPr>
  </w:style>
  <w:style w:type="paragraph" w:styleId="15">
    <w:name w:val="Body Text Indent 3"/>
    <w:basedOn w:val="1"/>
    <w:link w:val="52"/>
    <w:unhideWhenUsed/>
    <w:qFormat/>
    <w:uiPriority w:val="0"/>
    <w:pPr>
      <w:spacing w:after="120"/>
      <w:ind w:left="420" w:leftChars="200"/>
    </w:pPr>
    <w:rPr>
      <w:sz w:val="16"/>
      <w:szCs w:val="16"/>
    </w:rPr>
  </w:style>
  <w:style w:type="paragraph" w:styleId="16">
    <w:name w:val="toc 2"/>
    <w:basedOn w:val="1"/>
    <w:next w:val="1"/>
    <w:unhideWhenUsed/>
    <w:qFormat/>
    <w:uiPriority w:val="39"/>
    <w:pPr>
      <w:widowControl/>
      <w:tabs>
        <w:tab w:val="right" w:leader="dot" w:pos="8296"/>
      </w:tabs>
      <w:spacing w:after="100" w:line="276" w:lineRule="auto"/>
      <w:jc w:val="left"/>
    </w:pPr>
    <w:rPr>
      <w:b/>
      <w:kern w:val="0"/>
      <w:sz w:val="24"/>
    </w:rPr>
  </w:style>
  <w:style w:type="paragraph" w:styleId="17">
    <w:name w:val="Title"/>
    <w:basedOn w:val="1"/>
    <w:next w:val="1"/>
    <w:link w:val="33"/>
    <w:qFormat/>
    <w:uiPriority w:val="0"/>
    <w:pPr>
      <w:spacing w:before="240" w:after="60"/>
      <w:jc w:val="center"/>
      <w:outlineLvl w:val="0"/>
    </w:pPr>
    <w:rPr>
      <w:rFonts w:ascii="Cambria" w:hAnsi="Cambria"/>
      <w:b/>
      <w:bCs/>
      <w:sz w:val="32"/>
      <w:szCs w:val="32"/>
    </w:rPr>
  </w:style>
  <w:style w:type="character" w:styleId="19">
    <w:name w:val="Hyperlink"/>
    <w:unhideWhenUsed/>
    <w:qFormat/>
    <w:uiPriority w:val="99"/>
    <w:rPr>
      <w:color w:val="0000FF"/>
      <w:u w:val="single"/>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2">
    <w:name w:val="Table Elegant"/>
    <w:basedOn w:val="2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character" w:customStyle="1" w:styleId="23">
    <w:name w:val="标题 1 字符"/>
    <w:link w:val="2"/>
    <w:qFormat/>
    <w:uiPriority w:val="0"/>
    <w:rPr>
      <w:b/>
      <w:bCs/>
      <w:kern w:val="44"/>
      <w:sz w:val="44"/>
      <w:szCs w:val="44"/>
    </w:rPr>
  </w:style>
  <w:style w:type="paragraph" w:customStyle="1" w:styleId="24">
    <w:name w:val="表内容"/>
    <w:basedOn w:val="1"/>
    <w:link w:val="36"/>
    <w:qFormat/>
    <w:uiPriority w:val="0"/>
    <w:pPr>
      <w:snapToGrid w:val="0"/>
      <w:jc w:val="center"/>
    </w:pPr>
    <w:rPr>
      <w:rFonts w:eastAsia="仿宋_GB2312"/>
      <w:kern w:val="0"/>
      <w:szCs w:val="20"/>
    </w:rPr>
  </w:style>
  <w:style w:type="paragraph" w:customStyle="1" w:styleId="25">
    <w:name w:val="二级标题"/>
    <w:basedOn w:val="3"/>
    <w:qFormat/>
    <w:uiPriority w:val="0"/>
    <w:pPr>
      <w:spacing w:before="0" w:after="0" w:line="360" w:lineRule="auto"/>
    </w:pPr>
    <w:rPr>
      <w:rFonts w:ascii="Times New Roman" w:hAnsi="Times New Roman"/>
      <w:sz w:val="24"/>
    </w:rPr>
  </w:style>
  <w:style w:type="paragraph" w:customStyle="1" w:styleId="26">
    <w:name w:val="一级标题"/>
    <w:basedOn w:val="2"/>
    <w:qFormat/>
    <w:uiPriority w:val="0"/>
    <w:pPr>
      <w:jc w:val="left"/>
    </w:pPr>
    <w:rPr>
      <w:sz w:val="28"/>
    </w:rPr>
  </w:style>
  <w:style w:type="paragraph" w:customStyle="1" w:styleId="27">
    <w:name w:val="列出段落1"/>
    <w:basedOn w:val="1"/>
    <w:qFormat/>
    <w:uiPriority w:val="34"/>
    <w:pPr>
      <w:ind w:firstLine="420" w:firstLineChars="200"/>
    </w:pPr>
  </w:style>
  <w:style w:type="paragraph" w:customStyle="1" w:styleId="28">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29">
    <w:name w:val="三级标题"/>
    <w:basedOn w:val="25"/>
    <w:qFormat/>
    <w:uiPriority w:val="0"/>
  </w:style>
  <w:style w:type="paragraph" w:customStyle="1" w:styleId="30">
    <w:name w:val="表格2"/>
    <w:basedOn w:val="1"/>
    <w:next w:val="1"/>
    <w:qFormat/>
    <w:uiPriority w:val="0"/>
    <w:pPr>
      <w:adjustRightInd w:val="0"/>
      <w:snapToGrid w:val="0"/>
      <w:spacing w:beforeLines="10" w:afterLines="10" w:line="280" w:lineRule="exact"/>
      <w:ind w:left="-2" w:firstLine="2"/>
      <w:textAlignment w:val="baseline"/>
    </w:pPr>
    <w:rPr>
      <w:rFonts w:hAnsi="楷体_GB2312"/>
      <w:color w:val="000000"/>
      <w:spacing w:val="-8"/>
      <w:szCs w:val="21"/>
    </w:rPr>
  </w:style>
  <w:style w:type="paragraph" w:customStyle="1" w:styleId="3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列出段落2"/>
    <w:basedOn w:val="1"/>
    <w:unhideWhenUsed/>
    <w:qFormat/>
    <w:uiPriority w:val="99"/>
    <w:pPr>
      <w:ind w:firstLine="420" w:firstLineChars="200"/>
    </w:pPr>
  </w:style>
  <w:style w:type="character" w:customStyle="1" w:styleId="33">
    <w:name w:val="标题 字符"/>
    <w:link w:val="17"/>
    <w:qFormat/>
    <w:uiPriority w:val="0"/>
    <w:rPr>
      <w:rFonts w:ascii="Cambria" w:hAnsi="Cambria" w:cs="Times New Roman"/>
      <w:b/>
      <w:bCs/>
      <w:kern w:val="2"/>
      <w:sz w:val="32"/>
      <w:szCs w:val="32"/>
    </w:rPr>
  </w:style>
  <w:style w:type="character" w:customStyle="1" w:styleId="34">
    <w:name w:val="标题 2 字符"/>
    <w:link w:val="3"/>
    <w:semiHidden/>
    <w:qFormat/>
    <w:uiPriority w:val="0"/>
    <w:rPr>
      <w:rFonts w:ascii="Cambria" w:hAnsi="Cambria" w:eastAsia="宋体" w:cs="Times New Roman"/>
      <w:b/>
      <w:bCs/>
      <w:kern w:val="2"/>
      <w:sz w:val="32"/>
      <w:szCs w:val="32"/>
    </w:rPr>
  </w:style>
  <w:style w:type="character" w:customStyle="1" w:styleId="35">
    <w:name w:val="页脚 字符"/>
    <w:link w:val="12"/>
    <w:qFormat/>
    <w:uiPriority w:val="99"/>
    <w:rPr>
      <w:kern w:val="2"/>
      <w:sz w:val="18"/>
      <w:szCs w:val="18"/>
    </w:rPr>
  </w:style>
  <w:style w:type="character" w:customStyle="1" w:styleId="36">
    <w:name w:val="表内容 Char"/>
    <w:link w:val="24"/>
    <w:qFormat/>
    <w:locked/>
    <w:uiPriority w:val="0"/>
    <w:rPr>
      <w:rFonts w:eastAsia="仿宋_GB2312"/>
      <w:sz w:val="21"/>
    </w:rPr>
  </w:style>
  <w:style w:type="character" w:customStyle="1" w:styleId="37">
    <w:name w:val="页眉 字符"/>
    <w:link w:val="13"/>
    <w:qFormat/>
    <w:uiPriority w:val="99"/>
    <w:rPr>
      <w:kern w:val="2"/>
      <w:sz w:val="18"/>
      <w:szCs w:val="18"/>
    </w:rPr>
  </w:style>
  <w:style w:type="character" w:customStyle="1" w:styleId="38">
    <w:name w:val="批注框文本 字符"/>
    <w:link w:val="11"/>
    <w:qFormat/>
    <w:uiPriority w:val="0"/>
    <w:rPr>
      <w:kern w:val="2"/>
      <w:sz w:val="18"/>
      <w:szCs w:val="18"/>
    </w:rPr>
  </w:style>
  <w:style w:type="character" w:customStyle="1" w:styleId="39">
    <w:name w:val="文档结构图 字符"/>
    <w:link w:val="5"/>
    <w:qFormat/>
    <w:uiPriority w:val="0"/>
    <w:rPr>
      <w:rFonts w:ascii="宋体"/>
      <w:kern w:val="2"/>
      <w:sz w:val="18"/>
      <w:szCs w:val="18"/>
    </w:rPr>
  </w:style>
  <w:style w:type="character" w:customStyle="1" w:styleId="40">
    <w:name w:val="正文文本 字符"/>
    <w:basedOn w:val="18"/>
    <w:link w:val="6"/>
    <w:semiHidden/>
    <w:qFormat/>
    <w:uiPriority w:val="0"/>
    <w:rPr>
      <w:kern w:val="2"/>
      <w:sz w:val="21"/>
      <w:szCs w:val="24"/>
    </w:rPr>
  </w:style>
  <w:style w:type="paragraph" w:customStyle="1" w:styleId="41">
    <w:name w:val="Table Paragraph"/>
    <w:basedOn w:val="1"/>
    <w:qFormat/>
    <w:uiPriority w:val="1"/>
    <w:pPr>
      <w:autoSpaceDE w:val="0"/>
      <w:autoSpaceDN w:val="0"/>
      <w:jc w:val="center"/>
    </w:pPr>
    <w:rPr>
      <w:rFonts w:ascii="宋体" w:hAnsi="宋体" w:cs="宋体"/>
      <w:kern w:val="0"/>
      <w:sz w:val="22"/>
      <w:szCs w:val="22"/>
      <w:lang w:eastAsia="en-US"/>
    </w:rPr>
  </w:style>
  <w:style w:type="paragraph" w:customStyle="1" w:styleId="42">
    <w:name w:val="List Paragraph1"/>
    <w:basedOn w:val="1"/>
    <w:qFormat/>
    <w:uiPriority w:val="99"/>
    <w:pPr>
      <w:ind w:firstLine="420" w:firstLineChars="200"/>
    </w:pPr>
  </w:style>
  <w:style w:type="paragraph" w:customStyle="1" w:styleId="43">
    <w:name w:val="List Paragraph"/>
    <w:basedOn w:val="1"/>
    <w:qFormat/>
    <w:uiPriority w:val="99"/>
    <w:pPr>
      <w:ind w:firstLine="420" w:firstLineChars="200"/>
    </w:pPr>
  </w:style>
  <w:style w:type="paragraph" w:customStyle="1" w:styleId="44">
    <w:name w:val="报告表正文"/>
    <w:basedOn w:val="1"/>
    <w:qFormat/>
    <w:uiPriority w:val="0"/>
    <w:pPr>
      <w:spacing w:line="360" w:lineRule="auto"/>
      <w:ind w:firstLine="480" w:firstLineChars="200"/>
    </w:pPr>
    <w:rPr>
      <w:sz w:val="24"/>
    </w:rPr>
  </w:style>
  <w:style w:type="paragraph" w:customStyle="1" w:styleId="45">
    <w:name w:val="段落A"/>
    <w:basedOn w:val="1"/>
    <w:qFormat/>
    <w:uiPriority w:val="0"/>
    <w:pPr>
      <w:spacing w:line="400" w:lineRule="exact"/>
      <w:ind w:firstLine="480" w:firstLineChars="200"/>
    </w:pPr>
    <w:rPr>
      <w:sz w:val="24"/>
    </w:rPr>
  </w:style>
  <w:style w:type="paragraph" w:customStyle="1" w:styleId="46">
    <w:name w:val="报告表小段"/>
    <w:basedOn w:val="1"/>
    <w:next w:val="1"/>
    <w:qFormat/>
    <w:uiPriority w:val="0"/>
    <w:pPr>
      <w:autoSpaceDE w:val="0"/>
      <w:autoSpaceDN w:val="0"/>
      <w:adjustRightInd w:val="0"/>
      <w:jc w:val="left"/>
    </w:pPr>
    <w:rPr>
      <w:rFonts w:ascii="宋体"/>
      <w:kern w:val="0"/>
      <w:sz w:val="24"/>
    </w:rPr>
  </w:style>
  <w:style w:type="paragraph" w:customStyle="1" w:styleId="47">
    <w:name w:val="报告表 段"/>
    <w:basedOn w:val="1"/>
    <w:next w:val="1"/>
    <w:qFormat/>
    <w:uiPriority w:val="99"/>
    <w:pPr>
      <w:autoSpaceDE w:val="0"/>
      <w:autoSpaceDN w:val="0"/>
      <w:adjustRightInd w:val="0"/>
      <w:jc w:val="left"/>
    </w:pPr>
    <w:rPr>
      <w:rFonts w:ascii="宋体"/>
      <w:kern w:val="0"/>
      <w:sz w:val="24"/>
    </w:rPr>
  </w:style>
  <w:style w:type="paragraph" w:customStyle="1" w:styleId="4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9">
    <w:name w:val="Char Char2 Char Char Char Char Char Char Char Char Char Char"/>
    <w:basedOn w:val="1"/>
    <w:qFormat/>
    <w:uiPriority w:val="0"/>
    <w:pPr>
      <w:ind w:firstLine="480" w:firstLineChars="200"/>
    </w:pPr>
    <w:rPr>
      <w:rFonts w:ascii="宋体"/>
      <w:sz w:val="28"/>
    </w:rPr>
  </w:style>
  <w:style w:type="paragraph" w:customStyle="1" w:styleId="50">
    <w:name w:val="报告"/>
    <w:basedOn w:val="1"/>
    <w:qFormat/>
    <w:uiPriority w:val="0"/>
    <w:pPr>
      <w:widowControl/>
      <w:suppressAutoHyphens/>
      <w:overflowPunct w:val="0"/>
      <w:topLinePunct/>
      <w:spacing w:line="360" w:lineRule="auto"/>
      <w:ind w:firstLine="480" w:firstLineChars="200"/>
      <w:textAlignment w:val="baseline"/>
    </w:pPr>
    <w:rPr>
      <w:bCs/>
      <w:kern w:val="0"/>
      <w:sz w:val="24"/>
    </w:rPr>
  </w:style>
  <w:style w:type="paragraph" w:customStyle="1" w:styleId="51">
    <w:name w:val="报告表  段"/>
    <w:basedOn w:val="1"/>
    <w:qFormat/>
    <w:uiPriority w:val="0"/>
    <w:pPr>
      <w:adjustRightInd w:val="0"/>
      <w:spacing w:line="360" w:lineRule="auto"/>
      <w:ind w:firstLine="505"/>
      <w:textAlignment w:val="baseline"/>
    </w:pPr>
    <w:rPr>
      <w:rFonts w:ascii="宋体"/>
      <w:kern w:val="0"/>
      <w:sz w:val="24"/>
      <w:szCs w:val="20"/>
    </w:rPr>
  </w:style>
  <w:style w:type="character" w:customStyle="1" w:styleId="52">
    <w:name w:val="正文文本缩进 3 字符"/>
    <w:basedOn w:val="18"/>
    <w:link w:val="15"/>
    <w:semiHidden/>
    <w:qFormat/>
    <w:uiPriority w:val="0"/>
    <w:rPr>
      <w:kern w:val="2"/>
      <w:sz w:val="16"/>
      <w:szCs w:val="16"/>
    </w:rPr>
  </w:style>
  <w:style w:type="paragraph" w:customStyle="1" w:styleId="53">
    <w:name w:val="Char Char2 Char Char Char Char Char Char Char Char Char Char1"/>
    <w:basedOn w:val="1"/>
    <w:qFormat/>
    <w:uiPriority w:val="0"/>
    <w:pPr>
      <w:ind w:firstLine="480" w:firstLineChars="200"/>
    </w:pPr>
    <w:rPr>
      <w:rFonts w:ascii="宋体"/>
      <w:sz w:val="28"/>
    </w:rPr>
  </w:style>
  <w:style w:type="paragraph" w:customStyle="1" w:styleId="54">
    <w:name w:val="Char Char2 Char Char Char Char Char Char Char Char Char Char2"/>
    <w:basedOn w:val="1"/>
    <w:qFormat/>
    <w:uiPriority w:val="0"/>
    <w:pPr>
      <w:ind w:firstLine="480" w:firstLineChars="200"/>
    </w:pPr>
    <w:rPr>
      <w:rFonts w:ascii="宋体"/>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A44DC5-3D69-4D32-BA90-B9A45D2D4FD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49</Pages>
  <Words>2671</Words>
  <Characters>15228</Characters>
  <Lines>126</Lines>
  <Paragraphs>35</Paragraphs>
  <ScaleCrop>false</ScaleCrop>
  <LinksUpToDate>false</LinksUpToDate>
  <CharactersWithSpaces>17864</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2017-06-20T02:58:00Z</dcterms:created>
  <dc:creator>微软用户</dc:creator>
  <cp:lastModifiedBy>泽武</cp:lastModifiedBy>
  <cp:lastPrinted>2017-06-26T09:08:00Z</cp:lastPrinted>
  <dcterms:modified xsi:type="dcterms:W3CDTF">2017-08-31T00:58:30Z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